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Training and development: line manager guide</w:t>
      </w:r>
      <w:r w:rsidRPr="005067F1">
        <w:rPr>
          <w:rFonts w:ascii="Avenir Next LT Pro" w:hAnsi="Avenir Next LT Pro" w:cstheme="minorHAnsi"/>
          <w:b/>
          <w:color w:val="FFFFFF" w:themeColor="background1"/>
          <w:sz w:val="24"/>
          <w:szCs w:val="24"/>
        </w:rPr>
        <w:t/>
      </w:r>
    </w:p>
    <w:p>
      <w:pPr>
        <w:keepLines/>
        <w:spacing w:after="200" w:before="0" w:line="360" w:lineRule="auto"/>
        <w:jc w:val="left"/>
      </w:pPr>
      <w:r>
        <w:rPr>
          <w:rFonts w:ascii="Arial" w:cs="Arial" w:eastAsia="Arial" w:hAnsi="Arial"/>
          <w:b w:val="false"/>
          <w:bCs w:val="false"/>
          <w:color w:val="262626"/>
          <w:sz w:val="24"/>
          <w:szCs w:val="24"/>
        </w:rPr>
        <w:t xml:space="preserve">Line managers have long been recognised as playing an important part in learning and development.</w:t>
      </w:r>
    </w:p>
    <w:p>
      <w:pPr>
        <w:keepLines/>
        <w:spacing w:after="200" w:before="0" w:line="360" w:lineRule="auto"/>
        <w:jc w:val="left"/>
      </w:pPr>
      <w:r>
        <w:rPr>
          <w:rFonts w:ascii="Arial" w:cs="Arial" w:eastAsia="Arial" w:hAnsi="Arial"/>
          <w:b w:val="false"/>
          <w:bCs w:val="false"/>
          <w:color w:val="262626"/>
          <w:sz w:val="24"/>
          <w:szCs w:val="24"/>
        </w:rPr>
        <w:t>You are uniquely placed to reinforce learning from management training or other development activities. You can do this by building them into an employee’s working life and promoting a positive approach to them.</w:t>
      </w:r>
    </w:p>
    <w:p>
      <w:pPr>
        <w:keepLines/>
        <w:spacing w:after="200" w:before="0" w:line="360" w:lineRule="auto"/>
        <w:jc w:val="left"/>
      </w:pPr>
      <w:r>
        <w:rPr>
          <w:rFonts w:ascii="Arial" w:cs="Arial" w:eastAsia="Arial" w:hAnsi="Arial"/>
          <w:b w:val="false"/>
          <w:bCs w:val="false"/>
          <w:color w:val="262626"/>
          <w:sz w:val="24"/>
          <w:szCs w:val="24"/>
        </w:rPr>
        <w:t xml:space="preserve">So how should you be involved in your employee’s training and development?</w:t>
      </w:r>
    </w:p>
    <w:p>
      <w:pPr>
        <w:pStyle w:val="Heading2"/>
        <w:keepNext/>
        <w:spacing w:after="200" w:before="320" w:line="360" w:lineRule="auto"/>
        <w:jc w:val="left"/>
        <w:outlineLvl w:val="0"/>
      </w:pPr>
      <w:r>
        <w:rPr>
          <w:rFonts w:ascii="Arial" w:cs="Arial" w:eastAsia="Arial" w:hAnsi="Arial"/>
          <w:b/>
          <w:bCs/>
          <w:color w:val="262626"/>
          <w:sz w:val="32"/>
          <w:szCs w:val="32"/>
        </w:rPr>
        <w:t xml:space="preserve">Steps to follow</w:t>
      </w:r>
    </w:p>
    <w:p>
      <w:pPr>
        <w:pStyle w:val="ListParagraph"/>
        <w:numPr>
          <w:ilvl w:val="0"/>
          <w:numId w:val="9002"/>
        </w:numPr>
        <w:spacing w:after="120" w:line="360" w:lineRule="auto"/>
      </w:pPr>
      <w:r>
        <w:rPr>
          <w:rFonts w:ascii="Arial" w:cs="Arial" w:eastAsia="Arial" w:hAnsi="Arial"/>
          <w:b w:val="false"/>
          <w:bCs w:val="false"/>
          <w:color w:val="262626"/>
          <w:sz w:val="24"/>
          <w:szCs w:val="24"/>
        </w:rPr>
        <w:t>Set clear expectations with your employee. Be clear on what they need to deliver, for example job responsibilities and targets, and on how they are expected to deliver it, for example their approach and behaviour at work.</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Carry out performance appraisals and agree personal development plans. This means measuring the gap between what someone currently delivers, and how, against what the role needs.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When agreeing personal development plans, do not just ask "what are this person’s weaknesses?" Also ask "where would learning and development add the greatest value to their performance?"</w:t>
      </w:r>
    </w:p>
    <w:p>
      <w:pPr>
        <w:pStyle w:val="ListParagraph"/>
        <w:numPr>
          <w:ilvl w:val="0"/>
          <w:numId w:val="9002"/>
        </w:numPr>
        <w:spacing w:after="120" w:line="360" w:lineRule="auto"/>
      </w:pPr>
      <w:r>
        <w:rPr>
          <w:rFonts w:ascii="Arial" w:cs="Arial" w:eastAsia="Arial" w:hAnsi="Arial"/>
          <w:b w:val="false"/>
          <w:bCs w:val="false"/>
          <w:color w:val="262626"/>
          <w:sz w:val="24"/>
          <w:szCs w:val="24"/>
        </w:rPr>
        <w:t>Understand the full range of learning and development options available. Too many managers default to a generic management training course or presentation skills course. There are hundreds of other options, from reading a book to learning a new skill outside work.</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Take on more of a coaching role with your employees. There is a strong link between the coaching and guidance you provide and your employees’ satisfaction, commitment and motivation.</w:t>
      </w:r>
    </w:p>
    <w:p>
      <w:pPr>
        <w:pStyle w:val="ListParagraph"/>
        <w:numPr>
          <w:ilvl w:val="0"/>
          <w:numId w:val="9002"/>
        </w:numPr>
        <w:spacing w:after="120" w:line="360" w:lineRule="auto"/>
      </w:pPr>
      <w:r>
        <w:rPr>
          <w:rFonts w:ascii="Arial" w:cs="Arial" w:eastAsia="Arial" w:hAnsi="Arial"/>
          <w:b w:val="false"/>
          <w:bCs w:val="false"/>
          <w:color w:val="262626"/>
          <w:sz w:val="24"/>
          <w:szCs w:val="24"/>
        </w:rPr>
        <w:t>Understand your role as a "sponsor" of your employees’ or team’s learning and development. For example, it sends the wrong message if you ask someone to attend a training course. It sends the same wrong message if you then prevent them from attending some or all of it.</w:t>
      </w:r>
    </w:p>
    <w:p>
      <w:pPr>
        <w:pStyle w:val="Heading2"/>
        <w:keepNext/>
        <w:spacing w:after="200" w:before="320" w:line="360" w:lineRule="auto"/>
        <w:jc w:val="left"/>
        <w:outlineLvl w:val="0"/>
      </w:pPr>
      <w:r>
        <w:rPr>
          <w:rFonts w:ascii="Arial" w:cs="Arial" w:eastAsia="Arial" w:hAnsi="Arial"/>
          <w:b/>
          <w:bCs/>
          <w:color w:val="262626"/>
          <w:sz w:val="32"/>
          <w:szCs w:val="32"/>
        </w:rPr>
        <w:t xml:space="preserve">As a line manager, you should</w:t>
      </w:r>
    </w:p>
    <w:p>
      <w:pPr>
        <w:pStyle w:val="ListParagraph"/>
        <w:numPr>
          <w:ilvl w:val="0"/>
          <w:numId w:val="9003"/>
        </w:numPr>
        <w:spacing w:after="120" w:line="360" w:lineRule="auto"/>
      </w:pPr>
      <w:r>
        <w:rPr>
          <w:rFonts w:ascii="Arial" w:cs="Arial" w:eastAsia="Arial" w:hAnsi="Arial"/>
          <w:b w:val="false"/>
          <w:bCs w:val="false"/>
          <w:color w:val="262626"/>
          <w:sz w:val="24"/>
          <w:szCs w:val="24"/>
        </w:rPr>
        <w:t xml:space="preserve">invest time, energy and enthusiasm in your employees’ development</w:t>
      </w:r>
    </w:p>
    <w:p>
      <w:pPr>
        <w:pStyle w:val="ListParagraph"/>
        <w:numPr>
          <w:ilvl w:val="0"/>
          <w:numId w:val="9003"/>
        </w:numPr>
        <w:spacing w:after="120" w:line="360" w:lineRule="auto"/>
      </w:pPr>
      <w:r>
        <w:rPr>
          <w:rFonts w:ascii="Arial" w:cs="Arial" w:eastAsia="Arial" w:hAnsi="Arial"/>
          <w:b w:val="false"/>
          <w:bCs w:val="false"/>
          <w:color w:val="262626"/>
          <w:sz w:val="24"/>
          <w:szCs w:val="24"/>
        </w:rPr>
        <w:t xml:space="preserve">show public commitment to training and development by leading by example</w:t>
      </w:r>
    </w:p>
    <w:p>
      <w:pPr>
        <w:pStyle w:val="ListParagraph"/>
        <w:numPr>
          <w:ilvl w:val="0"/>
          <w:numId w:val="9003"/>
        </w:numPr>
        <w:spacing w:after="120" w:line="360" w:lineRule="auto"/>
      </w:pPr>
      <w:r>
        <w:rPr>
          <w:rFonts w:ascii="Arial" w:cs="Arial" w:eastAsia="Arial" w:hAnsi="Arial"/>
          <w:b w:val="false"/>
          <w:bCs w:val="false"/>
          <w:color w:val="262626"/>
          <w:sz w:val="24"/>
          <w:szCs w:val="24"/>
        </w:rPr>
        <w:t xml:space="preserve">be clear with your team about why management training and development matters for raising standards and performance</w:t>
      </w:r>
    </w:p>
    <w:p>
      <w:pPr>
        <w:pStyle w:val="ListParagraph"/>
        <w:numPr>
          <w:ilvl w:val="0"/>
          <w:numId w:val="9003"/>
        </w:numPr>
        <w:spacing w:after="120" w:line="360" w:lineRule="auto"/>
      </w:pPr>
      <w:r>
        <w:rPr>
          <w:rFonts w:ascii="Arial" w:cs="Arial" w:eastAsia="Arial" w:hAnsi="Arial"/>
          <w:b w:val="false"/>
          <w:bCs w:val="false"/>
          <w:color w:val="262626"/>
          <w:sz w:val="24"/>
          <w:szCs w:val="24"/>
        </w:rPr>
        <w:t xml:space="preserve">recognise success</w:t>
      </w:r>
    </w:p>
    <w:p>
      <w:pPr>
        <w:pStyle w:val="Heading2"/>
        <w:keepNext/>
        <w:spacing w:after="200" w:before="320" w:line="360" w:lineRule="auto"/>
        <w:jc w:val="left"/>
        <w:outlineLvl w:val="0"/>
      </w:pPr>
      <w:r>
        <w:rPr>
          <w:rFonts w:ascii="Arial" w:cs="Arial" w:eastAsia="Arial" w:hAnsi="Arial"/>
          <w:b/>
          <w:bCs/>
          <w:color w:val="262626"/>
          <w:sz w:val="32"/>
          <w:szCs w:val="32"/>
        </w:rPr>
        <w:t xml:space="preserve">Glossary</w:t>
      </w:r>
    </w:p>
    <w:p>
      <w:pPr>
        <w:keepLines/>
        <w:spacing w:after="200" w:before="0" w:line="360" w:lineRule="auto"/>
        <w:jc w:val="left"/>
      </w:pPr>
      <w:r>
        <w:rPr>
          <w:rFonts w:ascii="Arial" w:cs="Arial" w:eastAsia="Arial" w:hAnsi="Arial"/>
          <w:b/>
          <w:bCs/>
          <w:color w:val="262626"/>
          <w:sz w:val="24"/>
          <w:szCs w:val="24"/>
        </w:rPr>
        <w:t xml:space="preserve">Personal development plan </w:t>
      </w:r>
      <w:r>
        <w:rPr>
          <w:rFonts w:ascii="Arial" w:cs="Arial" w:eastAsia="Arial" w:hAnsi="Arial"/>
          <w:b w:val="false"/>
          <w:bCs w:val="false"/>
          <w:color w:val="262626"/>
          <w:sz w:val="24"/>
          <w:szCs w:val="24"/>
        </w:rPr>
        <w:t xml:space="preserve">– a plan that sets out an employee’s development goals and the actions needed to reach them.</w:t>
      </w:r>
    </w:p>
    <w:p>
      <w:pPr>
        <w:keepLines/>
        <w:spacing w:after="200" w:before="0" w:line="360" w:lineRule="auto"/>
        <w:jc w:val="left"/>
      </w:pPr>
      <w:r>
        <w:rPr>
          <w:rFonts w:ascii="Arial" w:cs="Arial" w:eastAsia="Arial" w:hAnsi="Arial"/>
          <w:b/>
          <w:bCs/>
          <w:color w:val="262626"/>
          <w:sz w:val="24"/>
          <w:szCs w:val="24"/>
        </w:rPr>
        <w:t xml:space="preserve">Sponsor </w:t>
      </w:r>
      <w:r>
        <w:rPr>
          <w:rFonts w:ascii="Arial" w:cs="Arial" w:eastAsia="Arial" w:hAnsi="Arial"/>
          <w:b w:val="false"/>
          <w:bCs w:val="false"/>
          <w:color w:val="262626"/>
          <w:sz w:val="24"/>
          <w:szCs w:val="24"/>
        </w:rPr>
        <w:t xml:space="preserve">– in this context, a manager who actively supports and enables an employee’s learning and development, rather than just approving it.</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7560310" cy="1069213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7560310" cy="10692130"/>
                  </a:xfrm>
                  <a:prstGeom prst="rect">
                    <a:avLst/>
                  </a:prstGeom>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abstractNum w:abstractNumId="9004" w15:restartNumberingAfterBreak="0">
    <w:multiLevelType w:val="hybridMultilevel"/>
    <w:lvl w:ilvl="0" w15:tentative="1">
      <w:start w:val="1"/>
      <w:numFmt w:val="decimal"/>
      <w:lvlText w:val="%1."/>
      <w:lvlJc w:val="left"/>
      <w:pPr>
        <w:ind w:left="420" w:hanging="260"/>
      </w:pPr>
    </w:lvl>
  </w:abstractNum>
  <w:abstractNum w:abstractNumId="9005" w15:restartNumberingAfterBreak="0">
    <w:multiLevelType w:val="hybridMultilevel"/>
    <w:lvl w:ilvl="0" w15:tentative="1">
      <w:start w:val="1"/>
      <w:numFmt w:val="decimal"/>
      <w:lvlText w:val="%1."/>
      <w:lvlJc w:val="left"/>
      <w:pPr>
        <w:ind w:left="420" w:hanging="260"/>
      </w:pPr>
    </w:lvl>
  </w:abstractNum>
  <w:abstractNum w:abstractNumId="9006" w15:restartNumberingAfterBreak="0">
    <w:multiLevelType w:val="hybridMultilevel"/>
    <w:lvl w:ilvl="0" w15:tentative="1">
      <w:start w:val="1"/>
      <w:numFmt w:val="decimal"/>
      <w:lvlText w:val="%1."/>
      <w:lvlJc w:val="left"/>
      <w:pPr>
        <w:ind w:left="420" w:hanging="260"/>
      </w:pPr>
    </w:lvl>
  </w:abstractNum>
  <w:abstractNum w:abstractNumId="9007" w15:restartNumberingAfterBreak="0">
    <w:multiLevelType w:val="hybridMultilevel"/>
    <w:lvl w:ilvl="0" w15:tentative="1">
      <w:start w:val="1"/>
      <w:numFmt w:val="decimal"/>
      <w:lvlText w:val="%1."/>
      <w:lvlJc w:val="left"/>
      <w:pPr>
        <w:ind w:left="420" w:hanging="260"/>
      </w:pPr>
    </w:lvl>
  </w:abstractNum>
  <w:abstractNum w:abstractNumId="9008" w15:restartNumberingAfterBreak="0">
    <w:multiLevelType w:val="hybridMultilevel"/>
    <w:lvl w:ilvl="0" w15:tentative="1">
      <w:start w:val="1"/>
      <w:numFmt w:val="decimal"/>
      <w:lvlText w:val="%1."/>
      <w:lvlJc w:val="left"/>
      <w:pPr>
        <w:ind w:left="420" w:hanging="260"/>
      </w:pPr>
    </w:lvl>
  </w:abstractNum>
  <w:abstractNum w:abstractNumId="9009" w15:restartNumberingAfterBreak="0">
    <w:multiLevelType w:val="hybridMultilevel"/>
    <w:lvl w:ilvl="0" w15:tentative="1">
      <w:start w:val="1"/>
      <w:numFmt w:val="decimal"/>
      <w:lvlText w:val="%1."/>
      <w:lvlJc w:val="left"/>
      <w:pPr>
        <w:ind w:left="420" w:hanging="260"/>
      </w:pPr>
    </w:lvl>
  </w:abstractNum>
  <w:abstractNum w:abstractNumId="9010" w15:restartNumberingAfterBreak="0">
    <w:multiLevelType w:val="hybridMultilevel"/>
    <w:lvl w:ilvl="0" w15:tentative="1">
      <w:start w:val="1"/>
      <w:numFmt w:val="decimal"/>
      <w:lvlText w:val="%1."/>
      <w:lvlJc w:val="left"/>
      <w:pPr>
        <w:ind w:left="420" w:hanging="260"/>
      </w:pPr>
    </w:lvl>
  </w:abstractNum>
  <w:abstractNum w:abstractNumId="9011" w15:restartNumberingAfterBreak="0">
    <w:multiLevelType w:val="hybridMultilevel"/>
    <w:lvl w:ilvl="0" w15:tentative="1">
      <w:start w:val="1"/>
      <w:numFmt w:val="decimal"/>
      <w:lvlText w:val="%1."/>
      <w:lvlJc w:val="left"/>
      <w:pPr>
        <w:ind w:left="420" w:hanging="260"/>
      </w:pPr>
    </w:lvl>
  </w:abstractNum>
  <w:abstractNum w:abstractNumId="9012" w15:restartNumberingAfterBreak="0">
    <w:multiLevelType w:val="hybridMultilevel"/>
    <w:lvl w:ilvl="0" w15:tentative="1">
      <w:start w:val="1"/>
      <w:numFmt w:val="decimal"/>
      <w:lvlText w:val="%1."/>
      <w:lvlJc w:val="left"/>
      <w:pPr>
        <w:ind w:left="420" w:hanging="260"/>
      </w:pPr>
    </w:lvl>
  </w:abstractNum>
  <w:abstractNum w:abstractNumId="9013" w15:restartNumberingAfterBreak="0">
    <w:multiLevelType w:val="hybridMultilevel"/>
    <w:lvl w:ilvl="0" w15:tentative="1">
      <w:start w:val="1"/>
      <w:numFmt w:val="decimal"/>
      <w:lvlText w:val="%1."/>
      <w:lvlJc w:val="left"/>
      <w:pPr>
        <w:ind w:left="420" w:hanging="260"/>
      </w:pPr>
    </w:lvl>
  </w:abstractNum>
  <w:abstractNum w:abstractNumId="9014" w15:restartNumberingAfterBreak="0">
    <w:multiLevelType w:val="hybridMultilevel"/>
    <w:lvl w:ilvl="0" w15:tentative="1">
      <w:start w:val="1"/>
      <w:numFmt w:val="decimal"/>
      <w:lvlText w:val="%1."/>
      <w:lvlJc w:val="left"/>
      <w:pPr>
        <w:ind w:left="420" w:hanging="260"/>
      </w:pPr>
    </w:lvl>
  </w:abstractNum>
  <w:abstractNum w:abstractNumId="9015" w15:restartNumberingAfterBreak="0">
    <w:multiLevelType w:val="hybridMultilevel"/>
    <w:lvl w:ilvl="0" w15:tentative="1">
      <w:start w:val="1"/>
      <w:numFmt w:val="decimal"/>
      <w:lvlText w:val="%1."/>
      <w:lvlJc w:val="left"/>
      <w:pPr>
        <w:ind w:left="420" w:hanging="260"/>
      </w:pPr>
    </w:lvl>
  </w:abstractNum>
  <w:abstractNum w:abstractNumId="9016" w15:restartNumberingAfterBreak="0">
    <w:multiLevelType w:val="hybridMultilevel"/>
    <w:lvl w:ilvl="0" w15:tentative="1">
      <w:start w:val="1"/>
      <w:numFmt w:val="decimal"/>
      <w:lvlText w:val="%1."/>
      <w:lvlJc w:val="left"/>
      <w:pPr>
        <w:ind w:left="420" w:hanging="260"/>
      </w:pPr>
    </w:lvl>
  </w:abstractNum>
  <w:abstractNum w:abstractNumId="9017" w15:restartNumberingAfterBreak="0">
    <w:multiLevelType w:val="hybridMultilevel"/>
    <w:lvl w:ilvl="0" w15:tentative="1">
      <w:start w:val="1"/>
      <w:numFmt w:val="decimal"/>
      <w:lvlText w:val="%1."/>
      <w:lvlJc w:val="left"/>
      <w:pPr>
        <w:ind w:left="420" w:hanging="260"/>
      </w:p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 w:numId="9001">
    <w:abstractNumId w:val="9001"/>
    <w:lvlOverride w:ilvl="0">
      <w:startOverride w:val="1"/>
    </w:lvlOverride>
  </w:num>
  <w:num w:numId="9002">
    <w:abstractNumId w:val="9017"/>
    <w:lvlOverride w:ilvl="0">
      <w:startOverride w:val="1"/>
    </w:lvlOverride>
  </w:num>
  <w:num w:numId="9003">
    <w:abstractNumId w:val="900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