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Right to work checks: employer guidance</w:t>
      </w:r>
      <w:r w:rsidRPr="005067F1">
        <w:rPr>
          <w:rFonts w:ascii="Avenir Next LT Pro" w:hAnsi="Avenir Next LT Pro" w:cstheme="minorHAnsi"/>
          <w:b/>
          <w:color w:val="FFFFFF" w:themeColor="background1"/>
          <w:sz w:val="24"/>
          <w:szCs w:val="24"/>
        </w:rPr>
        <w:t/>
      </w:r>
    </w:p>
    <w:p>
      <w:pPr>
        <w:pStyle w:val="Heading2"/>
        <w:keepNext/>
        <w:spacing w:after="200" w:before="320" w:line="360" w:lineRule="auto"/>
        <w:jc w:val="left"/>
        <w:outlineLvl w:val="0"/>
      </w:pPr>
      <w:r>
        <w:rPr>
          <w:rFonts w:ascii="Arial" w:cs="Arial" w:eastAsia="Arial" w:hAnsi="Arial"/>
          <w:b/>
          <w:bCs/>
          <w:color w:val="262626"/>
          <w:sz w:val="32"/>
          <w:szCs w:val="32"/>
        </w:rPr>
        <w:t xml:space="preserve">Contents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What is a right-to-work check?</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Who must carry out checks, and for whom</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When to carry out checks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Why checks matter</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How to carry out a manual check</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How to carry out an online check</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Treating everyone fairly</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What to keep afterwards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Glossary</w:t>
      </w:r>
    </w:p>
    <w:p>
      <w:pPr>
        <w:pStyle w:val="Heading2"/>
        <w:keepNext/>
        <w:spacing w:after="200" w:before="320" w:line="360" w:lineRule="auto"/>
        <w:jc w:val="left"/>
        <w:outlineLvl w:val="0"/>
      </w:pPr>
      <w:r>
        <w:rPr>
          <w:rFonts w:ascii="Arial" w:cs="Arial" w:eastAsia="Arial" w:hAnsi="Arial"/>
          <w:b/>
          <w:bCs/>
          <w:color w:val="262626"/>
          <w:sz w:val="32"/>
          <w:szCs w:val="32"/>
        </w:rPr>
        <w:t xml:space="preserve">What is a right-to-work check?</w:t>
      </w:r>
    </w:p>
    <w:p>
      <w:pPr>
        <w:keepLines/>
        <w:spacing w:after="200" w:before="0" w:line="360" w:lineRule="auto"/>
        <w:jc w:val="left"/>
      </w:pPr>
      <w:r>
        <w:rPr>
          <w:rFonts w:ascii="Arial" w:cs="Arial" w:eastAsia="Arial" w:hAnsi="Arial"/>
          <w:b w:val="false"/>
          <w:bCs w:val="false"/>
          <w:color w:val="262626"/>
          <w:sz w:val="24"/>
          <w:szCs w:val="24"/>
        </w:rPr>
        <w:t xml:space="preserve">A right-to-work check confirms that an employee has acceptable documents that prove they can legally work in the UK.</w:t>
      </w:r>
    </w:p>
    <w:p>
      <w:pPr>
        <w:pStyle w:val="Heading2"/>
        <w:keepNext/>
        <w:spacing w:after="200" w:before="320" w:line="360" w:lineRule="auto"/>
        <w:jc w:val="left"/>
        <w:outlineLvl w:val="0"/>
      </w:pPr>
      <w:r>
        <w:rPr>
          <w:rFonts w:ascii="Arial" w:cs="Arial" w:eastAsia="Arial" w:hAnsi="Arial"/>
          <w:b/>
          <w:bCs/>
          <w:color w:val="262626"/>
          <w:sz w:val="32"/>
          <w:szCs w:val="32"/>
        </w:rPr>
        <w:t xml:space="preserve">Who must carry out checks, and for whom</w:t>
      </w:r>
    </w:p>
    <w:p>
      <w:pPr>
        <w:keepLines/>
        <w:spacing w:after="200" w:before="0" w:line="360" w:lineRule="auto"/>
        <w:jc w:val="left"/>
      </w:pPr>
      <w:r>
        <w:rPr>
          <w:rFonts w:ascii="Arial" w:cs="Arial" w:eastAsia="Arial" w:hAnsi="Arial"/>
          <w:b w:val="false"/>
          <w:bCs w:val="false"/>
          <w:color w:val="262626"/>
          <w:sz w:val="24"/>
          <w:szCs w:val="24"/>
        </w:rPr>
        <w:t xml:space="preserve">You, as the employer, must carry out right-to-work checks. You must carry out a check for every potential employee, not only for people you think may need one.</w:t>
      </w:r>
    </w:p>
    <w:p>
      <w:pPr>
        <w:pStyle w:val="Heading2"/>
        <w:keepNext/>
        <w:spacing w:after="200" w:before="320" w:line="360" w:lineRule="auto"/>
        <w:jc w:val="left"/>
        <w:outlineLvl w:val="0"/>
      </w:pPr>
      <w:r>
        <w:rPr>
          <w:rFonts w:ascii="Arial" w:cs="Arial" w:eastAsia="Arial" w:hAnsi="Arial"/>
          <w:b/>
          <w:bCs/>
          <w:color w:val="262626"/>
          <w:sz w:val="32"/>
          <w:szCs w:val="32"/>
        </w:rPr>
        <w:t xml:space="preserve">When to carry out checks</w:t>
      </w:r>
    </w:p>
    <w:p>
      <w:pPr>
        <w:keepLines/>
        <w:spacing w:after="200" w:before="0" w:line="360" w:lineRule="auto"/>
        <w:jc w:val="left"/>
      </w:pPr>
      <w:r>
        <w:rPr>
          <w:rFonts w:ascii="Arial" w:cs="Arial" w:eastAsia="Arial" w:hAnsi="Arial"/>
          <w:b w:val="false"/>
          <w:bCs w:val="false"/>
          <w:color w:val="262626"/>
          <w:sz w:val="24"/>
          <w:szCs w:val="24"/>
        </w:rPr>
        <w:t>You must carry out the check before the person's first day of work. If you follow the correct process, you gain a statutory excuse against liability for a civil penalty. This applies even if it later turns out the person did not have the right to work.</w:t>
      </w:r>
      <w:r>
        <w:rPr>
          <w:rFonts w:ascii="Arial" w:cs="Arial" w:eastAsia="Arial" w:hAnsi="Arial"/>
          <w:b/>
          <w:bCs/>
          <w:color w:val="262626"/>
          <w:sz w:val="24"/>
          <w:szCs w:val="24"/>
        </w:rPr>
      </w:r>
      <w:r>
        <w:rPr>
          <w:rFonts w:ascii="Arial" w:cs="Arial" w:eastAsia="Arial" w:hAnsi="Arial"/>
          <w:b w:val="false"/>
          <w:bCs w:val="false"/>
          <w:color w:val="262626"/>
          <w:sz w:val="24"/>
          <w:szCs w:val="24"/>
        </w:rPr>
      </w:r>
    </w:p>
    <w:p>
      <w:pPr>
        <w:pStyle w:val="Heading2"/>
        <w:keepNext/>
        <w:spacing w:after="200" w:before="320" w:line="360" w:lineRule="auto"/>
        <w:jc w:val="left"/>
        <w:outlineLvl w:val="0"/>
      </w:pPr>
      <w:r>
        <w:rPr>
          <w:rFonts w:ascii="Arial" w:cs="Arial" w:eastAsia="Arial" w:hAnsi="Arial"/>
          <w:b/>
          <w:bCs/>
          <w:color w:val="262626"/>
          <w:sz w:val="32"/>
          <w:szCs w:val="32"/>
        </w:rPr>
        <w:t xml:space="preserve">Why checks matter</w:t>
      </w:r>
    </w:p>
    <w:p>
      <w:pPr>
        <w:keepLines/>
        <w:spacing w:after="200" w:before="0" w:line="360" w:lineRule="auto"/>
        <w:jc w:val="left"/>
      </w:pPr>
      <w:r>
        <w:rPr>
          <w:rFonts w:ascii="Arial" w:cs="Arial" w:eastAsia="Arial" w:hAnsi="Arial"/>
          <w:b w:val="false"/>
          <w:bCs w:val="false"/>
          <w:color w:val="262626"/>
          <w:sz w:val="24"/>
          <w:szCs w:val="24"/>
        </w:rPr>
        <w:t xml:space="preserve">All UK employers have a duty to prevent illegal working. If you do not carry out right-to-work checks, you can be liable for a civil penalty of up to £60,000 per illegal worker.</w:t>
      </w:r>
    </w:p>
    <w:p>
      <w:pPr>
        <w:keepLines/>
        <w:spacing w:after="200" w:before="0" w:line="360" w:lineRule="auto"/>
        <w:jc w:val="left"/>
      </w:pPr>
      <w:r>
        <w:rPr>
          <w:rFonts w:ascii="Arial" w:cs="Arial" w:eastAsia="Arial" w:hAnsi="Arial"/>
          <w:b w:val="false"/>
          <w:bCs w:val="false"/>
          <w:color w:val="262626"/>
          <w:sz w:val="24"/>
          <w:szCs w:val="24"/>
        </w:rPr>
        <w:t xml:space="preserve">You must carry out the check yourself. A statutory excuse is not established if a third party, such as a recruitment agency or professional adviser, carries out the check on your behalf.</w:t>
      </w:r>
    </w:p>
    <w:p>
      <w:pPr>
        <w:pStyle w:val="Heading2"/>
        <w:keepNext/>
        <w:spacing w:after="200" w:before="320" w:line="360" w:lineRule="auto"/>
        <w:jc w:val="left"/>
        <w:outlineLvl w:val="0"/>
      </w:pPr>
      <w:r>
        <w:rPr>
          <w:rFonts w:ascii="Arial" w:cs="Arial" w:eastAsia="Arial" w:hAnsi="Arial"/>
          <w:b/>
          <w:bCs/>
          <w:color w:val="262626"/>
          <w:sz w:val="32"/>
          <w:szCs w:val="32"/>
        </w:rPr>
        <w:t xml:space="preserve">How to carry out a manual check</w:t>
      </w:r>
    </w:p>
    <w:p>
      <w:pPr>
        <w:keepLines/>
        <w:spacing w:after="200" w:before="0" w:line="360" w:lineRule="auto"/>
        <w:jc w:val="left"/>
      </w:pPr>
      <w:r>
        <w:rPr>
          <w:rFonts w:ascii="Arial" w:cs="Arial" w:eastAsia="Arial" w:hAnsi="Arial"/>
          <w:b w:val="false"/>
          <w:bCs w:val="false"/>
          <w:color w:val="262626"/>
          <w:sz w:val="24"/>
          <w:szCs w:val="24"/>
        </w:rPr>
        <w:t xml:space="preserve">Follow these steps: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Obtain original versions of one or more acceptable documents.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Check the gov.uk list of acceptable documents: https://www.gov.uk/government/publications/right-to-work-checks-employers-guide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Check the document is valid with the document holder present.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Make and keep a clear copy of the document, and record the date you made the check.</w:t>
      </w:r>
    </w:p>
    <w:p>
      <w:pPr>
        <w:keepLines/>
        <w:spacing w:after="200" w:before="0" w:line="360" w:lineRule="auto"/>
        <w:jc w:val="left"/>
      </w:pPr>
      <w:r>
        <w:rPr>
          <w:rFonts w:ascii="Arial" w:cs="Arial" w:eastAsia="Arial" w:hAnsi="Arial"/>
          <w:b w:val="false"/>
          <w:bCs w:val="false"/>
          <w:color w:val="262626"/>
          <w:sz w:val="24"/>
          <w:szCs w:val="24"/>
        </w:rPr>
        <w:t xml:space="preserve">For a passport, write on the copy: "I certify this is a true likeness", then date and sign it.</w:t>
      </w:r>
    </w:p>
    <w:p>
      <w:pPr>
        <w:keepLines/>
        <w:spacing w:after="200" w:before="0" w:line="360" w:lineRule="auto"/>
        <w:jc w:val="left"/>
      </w:pPr>
      <w:r>
        <w:rPr>
          <w:rFonts w:ascii="Arial" w:cs="Arial" w:eastAsia="Arial" w:hAnsi="Arial"/>
          <w:b w:val="false"/>
          <w:bCs w:val="false"/>
          <w:color w:val="262626"/>
          <w:sz w:val="24"/>
          <w:szCs w:val="24"/>
        </w:rPr>
        <w:t>For a birth certificate or National Insurance evidence, such as a card or a P45, write on the copy: "I certify this is a copy of an original." Then date and sign it.</w:t>
      </w:r>
    </w:p>
    <w:p>
      <w:pPr>
        <w:pStyle w:val="Heading2"/>
        <w:keepNext/>
        <w:spacing w:after="200" w:before="320" w:line="360" w:lineRule="auto"/>
        <w:jc w:val="left"/>
        <w:outlineLvl w:val="0"/>
      </w:pPr>
      <w:r>
        <w:rPr>
          <w:rFonts w:ascii="Arial" w:cs="Arial" w:eastAsia="Arial" w:hAnsi="Arial"/>
          <w:b/>
          <w:bCs/>
          <w:color w:val="262626"/>
          <w:sz w:val="32"/>
          <w:szCs w:val="32"/>
        </w:rPr>
        <w:t xml:space="preserve">How to carry out an online check</w:t>
      </w:r>
    </w:p>
    <w:p>
      <w:pPr>
        <w:pStyle w:val="Heading3"/>
        <w:keepNext/>
        <w:spacing w:after="200" w:before="320" w:line="360" w:lineRule="auto"/>
        <w:jc w:val="left"/>
        <w:outlineLvl w:val="1"/>
      </w:pPr>
      <w:r>
        <w:rPr>
          <w:rFonts w:ascii="Arial" w:cs="Arial" w:eastAsia="Arial" w:hAnsi="Arial"/>
          <w:b/>
          <w:bCs/>
          <w:color w:val="262626"/>
          <w:sz w:val="30"/>
          <w:szCs w:val="30"/>
        </w:rPr>
        <w:t xml:space="preserve">Who can use the online check</w:t>
      </w:r>
    </w:p>
    <w:p>
      <w:pPr>
        <w:keepLines/>
        <w:spacing w:after="200" w:before="0" w:line="360" w:lineRule="auto"/>
        <w:jc w:val="left"/>
      </w:pPr>
      <w:r>
        <w:rPr>
          <w:rFonts w:ascii="Arial" w:cs="Arial" w:eastAsia="Arial" w:hAnsi="Arial"/>
          <w:b w:val="false"/>
          <w:bCs w:val="false"/>
          <w:color w:val="262626"/>
          <w:sz w:val="24"/>
          <w:szCs w:val="24"/>
        </w:rPr>
        <w:t xml:space="preserve">You can use the online right-to-work checking system for:</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non-EEA nationals who hold a biometric residence permit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EEA nationals who have settled status under the EU Settlement Scheme</w:t>
      </w:r>
    </w:p>
    <w:p>
      <w:pPr>
        <w:keepLines/>
        <w:spacing w:after="200" w:before="0" w:line="360" w:lineRule="auto"/>
        <w:jc w:val="left"/>
      </w:pPr>
      <w:r>
        <w:rPr>
          <w:rFonts w:ascii="Arial" w:cs="Arial" w:eastAsia="Arial" w:hAnsi="Arial"/>
          <w:b w:val="false"/>
          <w:bCs w:val="false"/>
          <w:color w:val="262626"/>
          <w:sz w:val="24"/>
          <w:szCs w:val="24"/>
        </w:rPr>
        <w:t xml:space="preserve">EEA nationals without settled status still need to provide the standard documents to prove their right to work.</w:t>
      </w:r>
    </w:p>
    <w:p>
      <w:pPr>
        <w:pStyle w:val="Heading3"/>
        <w:keepNext/>
        <w:spacing w:after="200" w:before="320" w:line="360" w:lineRule="auto"/>
        <w:jc w:val="left"/>
        <w:outlineLvl w:val="1"/>
      </w:pPr>
      <w:r>
        <w:rPr>
          <w:rFonts w:ascii="Arial" w:cs="Arial" w:eastAsia="Arial" w:hAnsi="Arial"/>
          <w:b/>
          <w:bCs/>
          <w:color w:val="262626"/>
          <w:sz w:val="30"/>
          <w:szCs w:val="30"/>
        </w:rPr>
        <w:t xml:space="preserve">How to carry out an online check</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View the job applicant's right-to-work details using the gov.uk service: https://www.gov.uk/view-right-to-work</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Check that the photograph on the online record matches the person presenting for work.</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Keep a clear copy of the response the online check gives you.</w:t>
      </w:r>
    </w:p>
    <w:p>
      <w:pPr>
        <w:keepLines/>
        <w:spacing w:after="200" w:before="0" w:line="360" w:lineRule="auto"/>
        <w:jc w:val="left"/>
      </w:pPr>
      <w:r>
        <w:rPr>
          <w:rFonts w:ascii="Arial" w:cs="Arial" w:eastAsia="Arial" w:hAnsi="Arial"/>
          <w:b w:val="false"/>
          <w:bCs w:val="false"/>
          <w:color w:val="262626"/>
          <w:sz w:val="24"/>
          <w:szCs w:val="24"/>
        </w:rPr>
        <w:t xml:space="preserve">To share their right to work with you, the employee gives you a </w:t>
      </w:r>
      <w:r>
        <w:rPr>
          <w:rFonts w:ascii="Arial" w:cs="Arial" w:eastAsia="Arial" w:hAnsi="Arial"/>
          <w:b/>
          <w:bCs/>
          <w:color w:val="262626"/>
          <w:sz w:val="24"/>
          <w:szCs w:val="24"/>
        </w:rPr>
        <w:t xml:space="preserve">share code</w:t>
      </w:r>
      <w:r>
        <w:rPr>
          <w:rFonts w:ascii="Arial" w:cs="Arial" w:eastAsia="Arial" w:hAnsi="Arial"/>
          <w:b w:val="false"/>
          <w:bCs w:val="false"/>
          <w:color w:val="262626"/>
          <w:sz w:val="24"/>
          <w:szCs w:val="24"/>
        </w:rPr>
        <w:t xml:space="preserve"> generated by the online system. A share code is valid for 30 days. After that, the employee needs a new code.</w:t>
      </w:r>
    </w:p>
    <w:p>
      <w:pPr>
        <w:keepLines/>
        <w:spacing w:after="200" w:before="0" w:line="360" w:lineRule="auto"/>
        <w:jc w:val="left"/>
      </w:pPr>
      <w:r>
        <w:rPr>
          <w:rFonts w:ascii="Arial" w:cs="Arial" w:eastAsia="Arial" w:hAnsi="Arial"/>
          <w:b w:val="false"/>
          <w:bCs w:val="false"/>
          <w:color w:val="262626"/>
          <w:sz w:val="24"/>
          <w:szCs w:val="24"/>
        </w:rPr>
        <w:t xml:space="preserve">You must use the employer part of the gov.uk service, together with the employee's share code and date of birth, to view their record yourself. It is not acceptable to rely only on what the employee shows you on their own screen.</w:t>
      </w:r>
    </w:p>
    <w:p>
      <w:pPr>
        <w:keepLines/>
        <w:spacing w:after="200" w:before="0" w:line="360" w:lineRule="auto"/>
        <w:jc w:val="left"/>
      </w:pPr>
      <w:r>
        <w:rPr>
          <w:rFonts w:ascii="Arial" w:cs="Arial" w:eastAsia="Arial" w:hAnsi="Arial"/>
          <w:b w:val="false"/>
          <w:bCs w:val="false"/>
          <w:color w:val="262626"/>
          <w:sz w:val="24"/>
          <w:szCs w:val="24"/>
        </w:rPr>
        <w:t>The Home Office keeps a record of every online check an employer carries out. If you do not carry out the check yourself through the online service, you cannot establish a statutory excuse. This is true even if you were physically present while the employee completed their part of the check.</w:t>
      </w:r>
    </w:p>
    <w:p>
      <w:pPr>
        <w:keepLines/>
        <w:spacing w:after="200" w:before="0" w:line="360" w:lineRule="auto"/>
        <w:jc w:val="left"/>
      </w:pPr>
      <w:r>
        <w:rPr>
          <w:rFonts w:ascii="Arial" w:cs="Arial" w:eastAsia="Arial" w:hAnsi="Arial"/>
          <w:b w:val="false"/>
          <w:bCs w:val="false"/>
          <w:color w:val="262626"/>
          <w:sz w:val="24"/>
          <w:szCs w:val="24"/>
        </w:rPr>
        <w:t xml:space="preserve">The online system does not cover every individual or every circumstance. Where it does not apply, carry out a manual check instead.</w:t>
      </w:r>
    </w:p>
    <w:p>
      <w:pPr>
        <w:pStyle w:val="Heading2"/>
        <w:keepNext/>
        <w:spacing w:after="200" w:before="320" w:line="360" w:lineRule="auto"/>
        <w:jc w:val="left"/>
        <w:outlineLvl w:val="0"/>
      </w:pPr>
      <w:r>
        <w:rPr>
          <w:rFonts w:ascii="Arial" w:cs="Arial" w:eastAsia="Arial" w:hAnsi="Arial"/>
          <w:b/>
          <w:bCs/>
          <w:color w:val="262626"/>
          <w:sz w:val="32"/>
          <w:szCs w:val="32"/>
        </w:rPr>
        <w:t xml:space="preserve">If the online check does not confirm the right to work</w:t>
      </w:r>
    </w:p>
    <w:p>
      <w:pPr>
        <w:keepLines/>
        <w:spacing w:after="200" w:before="0" w:line="360" w:lineRule="auto"/>
        <w:jc w:val="left"/>
      </w:pPr>
      <w:r>
        <w:rPr>
          <w:rFonts w:ascii="Arial" w:cs="Arial" w:eastAsia="Arial" w:hAnsi="Arial"/>
          <w:b w:val="false"/>
          <w:bCs w:val="false"/>
          <w:color w:val="262626"/>
          <w:sz w:val="24"/>
          <w:szCs w:val="24"/>
        </w:rPr>
        <w:t xml:space="preserve">If the online check does not confirm the person's right to work, you have not established a statutory excuse. If you go ahead and employ them, you risk being found guilty of a criminal offence.</w:t>
      </w:r>
    </w:p>
    <w:p>
      <w:pPr>
        <w:keepLines/>
        <w:spacing w:after="200" w:before="0" w:line="360" w:lineRule="auto"/>
        <w:jc w:val="left"/>
      </w:pPr>
      <w:r>
        <w:rPr>
          <w:rFonts w:ascii="Arial" w:cs="Arial" w:eastAsia="Arial" w:hAnsi="Arial"/>
          <w:b w:val="false"/>
          <w:bCs w:val="false"/>
          <w:color w:val="262626"/>
          <w:sz w:val="24"/>
          <w:szCs w:val="24"/>
        </w:rPr>
        <w:t>If you employ someone based on an online check, check that the photograph clearly matches the person doing the work. If it does not match, and it turns out they are working illegally, you may face a civil penalty.</w:t>
      </w:r>
    </w:p>
    <w:p>
      <w:pPr>
        <w:pStyle w:val="Heading2"/>
        <w:keepNext/>
        <w:spacing w:after="200" w:before="320" w:line="360" w:lineRule="auto"/>
        <w:jc w:val="left"/>
        <w:outlineLvl w:val="0"/>
      </w:pPr>
      <w:r>
        <w:rPr>
          <w:rFonts w:ascii="Arial" w:cs="Arial" w:eastAsia="Arial" w:hAnsi="Arial"/>
          <w:b/>
          <w:bCs/>
          <w:color w:val="262626"/>
          <w:sz w:val="32"/>
          <w:szCs w:val="32"/>
        </w:rPr>
        <w:t xml:space="preserve">Treating everyone fairly</w:t>
      </w:r>
    </w:p>
    <w:p>
      <w:pPr>
        <w:keepLines/>
        <w:spacing w:after="200" w:before="0" w:line="360" w:lineRule="auto"/>
        <w:jc w:val="left"/>
      </w:pPr>
      <w:r>
        <w:rPr>
          <w:rFonts w:ascii="Arial" w:cs="Arial" w:eastAsia="Arial" w:hAnsi="Arial"/>
          <w:b w:val="false"/>
          <w:bCs w:val="false"/>
          <w:color w:val="262626"/>
          <w:sz w:val="24"/>
          <w:szCs w:val="24"/>
        </w:rPr>
        <w:t xml:space="preserve">Every employee must be allowed to choose how they demonstrate their right to work. You must not discriminate based on whether someone is able or willing to use the online service, as this may breach the law.</w:t>
      </w:r>
    </w:p>
    <w:p>
      <w:pPr>
        <w:keepLines/>
        <w:spacing w:after="200" w:before="0" w:line="360" w:lineRule="auto"/>
        <w:jc w:val="left"/>
      </w:pPr>
      <w:r>
        <w:rPr>
          <w:rFonts w:ascii="Arial" w:cs="Arial" w:eastAsia="Arial" w:hAnsi="Arial"/>
          <w:b w:val="false"/>
          <w:bCs w:val="false"/>
          <w:color w:val="262626"/>
          <w:sz w:val="24"/>
          <w:szCs w:val="24"/>
        </w:rPr>
        <w:t xml:space="preserve">You can encourage employees to use the online check and support them in doing so, but you must not require it. If an employee does not want to use the online service, even if they could, you should carry out a manual check instead.</w:t>
      </w:r>
    </w:p>
    <w:p>
      <w:pPr>
        <w:pStyle w:val="Heading2"/>
        <w:keepNext/>
        <w:spacing w:after="200" w:before="320" w:line="360" w:lineRule="auto"/>
        <w:jc w:val="left"/>
        <w:outlineLvl w:val="0"/>
      </w:pPr>
      <w:r>
        <w:rPr>
          <w:rFonts w:ascii="Arial" w:cs="Arial" w:eastAsia="Arial" w:hAnsi="Arial"/>
          <w:b/>
          <w:bCs/>
          <w:color w:val="262626"/>
          <w:sz w:val="32"/>
          <w:szCs w:val="32"/>
        </w:rPr>
        <w:t xml:space="preserve">What to keep afterwards</w:t>
      </w:r>
    </w:p>
    <w:p>
      <w:pPr>
        <w:keepLines/>
        <w:spacing w:after="200" w:before="0" w:line="360" w:lineRule="auto"/>
        <w:jc w:val="left"/>
      </w:pPr>
      <w:r>
        <w:rPr>
          <w:rFonts w:ascii="Arial" w:cs="Arial" w:eastAsia="Arial" w:hAnsi="Arial"/>
          <w:b w:val="false"/>
          <w:bCs w:val="false"/>
          <w:color w:val="262626"/>
          <w:sz w:val="24"/>
          <w:szCs w:val="24"/>
        </w:rPr>
        <w:t xml:space="preserve">Keep the profile page that confirms the individual's right to work. It should include: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the individual's photograph</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the date you carried out the check</w:t>
      </w:r>
    </w:p>
    <w:p>
      <w:pPr>
        <w:keepLines/>
        <w:spacing w:after="200" w:before="0" w:line="360" w:lineRule="auto"/>
        <w:jc w:val="left"/>
      </w:pPr>
      <w:r>
        <w:rPr>
          <w:rFonts w:ascii="Arial" w:cs="Arial" w:eastAsia="Arial" w:hAnsi="Arial"/>
          <w:b w:val="false"/>
          <w:bCs w:val="false"/>
          <w:color w:val="262626"/>
          <w:sz w:val="24"/>
          <w:szCs w:val="24"/>
        </w:rPr>
        <w:t xml:space="preserve">You can print the profile page or save it as a PDF or HTML file. Store it securely, either electronically or as a hard copy, for the duration of the person's employment and for two years afterwards.</w:t>
      </w:r>
    </w:p>
    <w:p>
      <w:pPr>
        <w:keepLines/>
        <w:spacing w:after="200" w:before="0" w:line="360" w:lineRule="auto"/>
        <w:jc w:val="left"/>
      </w:pPr>
      <w:r>
        <w:rPr>
          <w:rFonts w:ascii="Arial" w:cs="Arial" w:eastAsia="Arial" w:hAnsi="Arial"/>
          <w:b w:val="false"/>
          <w:bCs w:val="false"/>
          <w:color w:val="262626"/>
          <w:sz w:val="24"/>
          <w:szCs w:val="24"/>
        </w:rPr>
        <w:t>If the employee has a fixed period of permission to stay in the UK, you need a fixed-term contract. Match the contract length to their updated length of stay.</w:t>
      </w:r>
    </w:p>
    <w:p>
      <w:pPr>
        <w:keepLines/>
        <w:spacing w:after="200" w:before="0" w:line="360" w:lineRule="auto"/>
        <w:jc w:val="left"/>
      </w:pPr>
      <w:r>
        <w:rPr>
          <w:rFonts w:ascii="Arial" w:cs="Arial" w:eastAsia="Arial" w:hAnsi="Arial"/>
          <w:b w:val="false"/>
          <w:bCs w:val="false"/>
          <w:color w:val="262626"/>
          <w:sz w:val="24"/>
          <w:szCs w:val="24"/>
        </w:rPr>
        <w:t xml:space="preserve">For more information, visit https://www.gov.uk/check-job-applicant-right-to-work</w:t>
      </w:r>
    </w:p>
    <w:p>
      <w:pPr>
        <w:pStyle w:val="Heading2"/>
        <w:keepNext/>
        <w:spacing w:after="200" w:before="320" w:line="360" w:lineRule="auto"/>
        <w:jc w:val="left"/>
        <w:outlineLvl w:val="0"/>
      </w:pPr>
      <w:r>
        <w:rPr>
          <w:rFonts w:ascii="Arial" w:cs="Arial" w:eastAsia="Arial" w:hAnsi="Arial"/>
          <w:b/>
          <w:bCs/>
          <w:color w:val="262626"/>
          <w:sz w:val="32"/>
          <w:szCs w:val="32"/>
        </w:rPr>
        <w:t xml:space="preserve">Glossary</w:t>
      </w:r>
    </w:p>
    <w:p>
      <w:pPr>
        <w:keepLines/>
        <w:spacing w:after="200" w:before="0" w:line="360" w:lineRule="auto"/>
        <w:jc w:val="left"/>
      </w:pPr>
      <w:r>
        <w:rPr>
          <w:rFonts w:ascii="Arial" w:cs="Arial" w:eastAsia="Arial" w:hAnsi="Arial"/>
          <w:b/>
          <w:bCs/>
          <w:color w:val="262626"/>
          <w:sz w:val="24"/>
          <w:szCs w:val="24"/>
        </w:rPr>
        <w:t xml:space="preserve">Statutory excuse </w:t>
      </w:r>
      <w:r>
        <w:rPr>
          <w:rFonts w:ascii="Arial" w:cs="Arial" w:eastAsia="Arial" w:hAnsi="Arial"/>
          <w:b w:val="false"/>
          <w:bCs w:val="false"/>
          <w:color w:val="262626"/>
          <w:sz w:val="24"/>
          <w:szCs w:val="24"/>
        </w:rPr>
        <w:t xml:space="preserve">– legal protection against a civil penalty, gained by carrying out a right-to-work check correctly.</w:t>
      </w:r>
    </w:p>
    <w:p>
      <w:pPr>
        <w:keepLines/>
        <w:spacing w:after="200" w:before="0" w:line="360" w:lineRule="auto"/>
        <w:jc w:val="left"/>
      </w:pPr>
      <w:r>
        <w:rPr>
          <w:rFonts w:ascii="Arial" w:cs="Arial" w:eastAsia="Arial" w:hAnsi="Arial"/>
          <w:b/>
          <w:bCs/>
          <w:color w:val="262626"/>
          <w:sz w:val="24"/>
          <w:szCs w:val="24"/>
        </w:rPr>
        <w:t xml:space="preserve">Civil penalty </w:t>
      </w:r>
      <w:r>
        <w:rPr>
          <w:rFonts w:ascii="Arial" w:cs="Arial" w:eastAsia="Arial" w:hAnsi="Arial"/>
          <w:b w:val="false"/>
          <w:bCs w:val="false"/>
          <w:color w:val="262626"/>
          <w:sz w:val="24"/>
          <w:szCs w:val="24"/>
        </w:rPr>
        <w:t xml:space="preserve">– a fine an employer can face for employing someone without the right to work, of up to £60,000 per illegal worker.</w:t>
      </w:r>
    </w:p>
    <w:p>
      <w:pPr>
        <w:keepLines/>
        <w:spacing w:after="200" w:before="0" w:line="360" w:lineRule="auto"/>
        <w:jc w:val="left"/>
      </w:pPr>
      <w:r>
        <w:rPr>
          <w:rFonts w:ascii="Arial" w:cs="Arial" w:eastAsia="Arial" w:hAnsi="Arial"/>
          <w:b/>
          <w:bCs/>
          <w:color w:val="262626"/>
          <w:sz w:val="24"/>
          <w:szCs w:val="24"/>
        </w:rPr>
        <w:t xml:space="preserve">Share code – </w:t>
      </w:r>
      <w:r>
        <w:rPr>
          <w:rFonts w:ascii="Arial" w:cs="Arial" w:eastAsia="Arial" w:hAnsi="Arial"/>
          <w:b w:val="0"/>
          <w:bCs w:val="false"/>
          <w:color w:val="262626"/>
          <w:sz w:val="24"/>
          <w:szCs w:val="24"/>
        </w:rPr>
        <w:t>a code an employee generates from their online Home Office record. They give it to an employer to prove their right to work. It is valid for 30 days.</w:t>
      </w:r>
    </w:p>
    <w:p>
      <w:pPr>
        <w:keepLines/>
        <w:spacing w:after="200" w:before="0" w:line="360" w:lineRule="auto"/>
        <w:jc w:val="left"/>
      </w:pPr>
      <w:r>
        <w:rPr>
          <w:rFonts w:ascii="Arial" w:cs="Arial" w:eastAsia="Arial" w:hAnsi="Arial"/>
          <w:b/>
          <w:bCs/>
          <w:color w:val="262626"/>
          <w:sz w:val="24"/>
          <w:szCs w:val="24"/>
        </w:rPr>
        <w:t xml:space="preserve">Biometric residence permit (BRP) </w:t>
      </w:r>
      <w:r>
        <w:rPr>
          <w:rFonts w:ascii="Arial" w:cs="Arial" w:eastAsia="Arial" w:hAnsi="Arial"/>
          <w:b w:val="false"/>
          <w:bCs w:val="false"/>
          <w:color w:val="262626"/>
          <w:sz w:val="24"/>
          <w:szCs w:val="24"/>
        </w:rPr>
        <w:t xml:space="preserve">– a card that proves a non-EEA national's immigration status and right to work in the UK.</w:t>
      </w:r>
    </w:p>
    <w:p>
      <w:pPr>
        <w:keepLines/>
        <w:spacing w:after="200" w:before="0" w:line="360" w:lineRule="auto"/>
        <w:jc w:val="left"/>
      </w:pPr>
      <w:r>
        <w:rPr>
          <w:rFonts w:ascii="Arial" w:cs="Arial" w:eastAsia="Arial" w:hAnsi="Arial"/>
          <w:b/>
          <w:bCs/>
          <w:color w:val="262626"/>
          <w:sz w:val="24"/>
          <w:szCs w:val="24"/>
        </w:rPr>
        <w:t xml:space="preserve">EEA </w:t>
      </w:r>
      <w:r>
        <w:rPr>
          <w:rFonts w:ascii="Arial" w:cs="Arial" w:eastAsia="Arial" w:hAnsi="Arial"/>
          <w:b w:val="false"/>
          <w:bCs w:val="false"/>
          <w:color w:val="262626"/>
          <w:sz w:val="24"/>
          <w:szCs w:val="24"/>
        </w:rPr>
        <w:t xml:space="preserve">– the European Economic Area.</w:t>
      </w:r>
    </w:p>
    <w:p>
      <w:pPr>
        <w:keepLines/>
        <w:spacing w:after="200" w:before="0" w:line="360" w:lineRule="auto"/>
        <w:jc w:val="left"/>
      </w:pPr>
      <w:r>
        <w:rPr>
          <w:rFonts w:ascii="Arial" w:cs="Arial" w:eastAsia="Arial" w:hAnsi="Arial"/>
          <w:b/>
          <w:bCs/>
          <w:color w:val="262626"/>
          <w:sz w:val="24"/>
          <w:szCs w:val="24"/>
        </w:rPr>
        <w:t xml:space="preserve">EU Settlement Scheme </w:t>
      </w:r>
      <w:r>
        <w:rPr>
          <w:rFonts w:ascii="Arial" w:cs="Arial" w:eastAsia="Arial" w:hAnsi="Arial"/>
          <w:b w:val="false"/>
          <w:bCs w:val="false"/>
          <w:color w:val="262626"/>
          <w:sz w:val="24"/>
          <w:szCs w:val="24"/>
        </w:rPr>
        <w:t xml:space="preserve">– the scheme that grants settled or pre-settled status to eligible EU, EEA and Swiss citizens living in the UK.</w:t>
      </w:r>
    </w:p>
    <w:sectPr w:rsidR="00A316B1" w:rsidRPr="00A316B1" w:rsidSect="00BC64B8">
      <w:headerReference w:type="default" r:id="rId8"/>
      <w:footerReference w:type="default" r:id="rId9"/>
      <w:footerReference w:type="first" r:id="rId12"/>
      <w:footerReference w:type="even" r:id="rId13"/>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abstractNum w:abstractNumId="9010" w15:restartNumberingAfterBreak="0">
    <w:multiLevelType w:val="hybridMultilevel"/>
    <w:lvl w:ilvl="0" w15:tentative="1">
      <w:start w:val="1"/>
      <w:numFmt w:val="decimal"/>
      <w:lvlText w:val="%1."/>
      <w:lvlJc w:val="left"/>
      <w:pPr>
        <w:ind w:left="420" w:hanging="260"/>
      </w:pPr>
    </w:lvl>
  </w:abstractNum>
  <w:abstractNum w:abstractNumId="9011" w15:restartNumberingAfterBreak="0">
    <w:multiLevelType w:val="hybridMultilevel"/>
    <w:lvl w:ilvl="0" w15:tentative="1">
      <w:start w:val="1"/>
      <w:numFmt w:val="decimal"/>
      <w:lvlText w:val="%1."/>
      <w:lvlJc w:val="left"/>
      <w:pPr>
        <w:ind w:left="420" w:hanging="260"/>
      </w:pPr>
    </w:lvl>
  </w:abstractNum>
  <w:abstractNum w:abstractNumId="9012" w15:restartNumberingAfterBreak="0">
    <w:multiLevelType w:val="hybridMultilevel"/>
    <w:lvl w:ilvl="0" w15:tentative="1">
      <w:start w:val="1"/>
      <w:numFmt w:val="decimal"/>
      <w:lvlText w:val="%1."/>
      <w:lvlJc w:val="left"/>
      <w:pPr>
        <w:ind w:left="420" w:hanging="260"/>
      </w:pPr>
    </w:lvl>
  </w:abstractNum>
  <w:abstractNum w:abstractNumId="9013" w15:restartNumberingAfterBreak="0">
    <w:multiLevelType w:val="hybridMultilevel"/>
    <w:lvl w:ilvl="0" w15:tentative="1">
      <w:start w:val="1"/>
      <w:numFmt w:val="decimal"/>
      <w:lvlText w:val="%1."/>
      <w:lvlJc w:val="left"/>
      <w:pPr>
        <w:ind w:left="420" w:hanging="260"/>
      </w:pPr>
    </w:lvl>
  </w:abstractNum>
  <w:abstractNum w:abstractNumId="9014" w15:restartNumberingAfterBreak="0">
    <w:multiLevelType w:val="hybridMultilevel"/>
    <w:lvl w:ilvl="0" w15:tentative="1">
      <w:start w:val="1"/>
      <w:numFmt w:val="decimal"/>
      <w:lvlText w:val="%1."/>
      <w:lvlJc w:val="left"/>
      <w:pPr>
        <w:ind w:left="420" w:hanging="260"/>
      </w:pPr>
    </w:lvl>
  </w:abstractNum>
  <w:abstractNum w:abstractNumId="9015"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0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