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3398A561" w14:textId="504CA2C2" w:rsidR="00AD7EB3" w:rsidRPr="000420FB" w:rsidRDefault="00C51363" w:rsidP="000420FB">
      <w:pPr>
        <w:shd w:val="clear" w:color="auto" w:fill="4BC7E3"/>
      </w:pPr>
      <w:r>
        <w:rPr>
          <w:b/>
          <w:color w:val="FFFFFF"/>
          <w:sz w:val="32"/>
        </w:rPr>
        <w:t>Menopause guidance</w:t>
      </w:r>
    </w:p>
    <w:p w14:paraId="020D5B80" w14:textId="77777777" w:rsidR="00AD7EB3" w:rsidRDefault="00000000">
      <w:pPr>
        <w:spacing w:line="360" w:lineRule="auto"/>
      </w:pPr>
      <w:r>
        <w:rPr>
          <w:rFonts w:ascii="Arial" w:hAnsi="Arial"/>
          <w:sz w:val="24"/>
        </w:rPr>
        <w:t>Many women go through perimenopause and menopause while they are still working. This can mean managing the demands of work and home life, while also dealing with menopause symptoms that are sometimes severe.</w:t>
      </w:r>
    </w:p>
    <w:p w14:paraId="557BE822" w14:textId="77777777" w:rsidR="00AD7EB3" w:rsidRDefault="00000000">
      <w:pPr>
        <w:spacing w:line="360" w:lineRule="auto"/>
      </w:pPr>
      <w:r>
        <w:rPr>
          <w:rFonts w:ascii="Arial" w:hAnsi="Arial"/>
          <w:sz w:val="24"/>
        </w:rPr>
        <w:t>For some women, menopause starts early. This can happen naturally, or because of a medical reason. Medical reasons include surgery such as a hysterectomy, chemotherapy, aromatase inhibitors (medicines that lower oestrogen levels), and treatment for endometriosis.</w:t>
      </w:r>
    </w:p>
    <w:p w14:paraId="0D8547C2" w14:textId="77777777" w:rsidR="00AD7EB3" w:rsidRDefault="00000000">
      <w:pPr>
        <w:spacing w:line="360" w:lineRule="auto"/>
      </w:pPr>
      <w:r>
        <w:rPr>
          <w:rFonts w:ascii="Arial" w:hAnsi="Arial"/>
          <w:sz w:val="24"/>
        </w:rPr>
        <w:t>Women experience the physical and psychological symptoms of menopause. However, menopause can also affect other people, both directly and indirectly, at work and at home. This can include:</w:t>
      </w:r>
    </w:p>
    <w:p w14:paraId="4D1E9B11" w14:textId="77777777" w:rsidR="00AD7EB3" w:rsidRDefault="00000000">
      <w:pPr>
        <w:pStyle w:val="ListParagraph"/>
        <w:numPr>
          <w:ilvl w:val="0"/>
          <w:numId w:val="2"/>
        </w:numPr>
        <w:spacing w:line="360" w:lineRule="auto"/>
      </w:pPr>
      <w:r>
        <w:rPr>
          <w:rFonts w:ascii="Arial" w:hAnsi="Arial"/>
          <w:sz w:val="24"/>
        </w:rPr>
        <w:t>male and female colleagues</w:t>
      </w:r>
    </w:p>
    <w:p w14:paraId="2A2FC0DB" w14:textId="77777777" w:rsidR="00AD7EB3" w:rsidRDefault="00000000">
      <w:pPr>
        <w:pStyle w:val="ListParagraph"/>
        <w:numPr>
          <w:ilvl w:val="0"/>
          <w:numId w:val="2"/>
        </w:numPr>
        <w:spacing w:line="360" w:lineRule="auto"/>
      </w:pPr>
      <w:r>
        <w:rPr>
          <w:rFonts w:ascii="Arial" w:hAnsi="Arial"/>
          <w:sz w:val="24"/>
        </w:rPr>
        <w:t>family members</w:t>
      </w:r>
    </w:p>
    <w:p w14:paraId="050657B2" w14:textId="77777777" w:rsidR="00AD7EB3" w:rsidRDefault="00000000">
      <w:pPr>
        <w:pStyle w:val="ListParagraph"/>
        <w:numPr>
          <w:ilvl w:val="0"/>
          <w:numId w:val="2"/>
        </w:numPr>
        <w:spacing w:line="360" w:lineRule="auto"/>
      </w:pPr>
      <w:r>
        <w:rPr>
          <w:rFonts w:ascii="Arial" w:hAnsi="Arial"/>
          <w:sz w:val="24"/>
        </w:rPr>
        <w:t>partners, including same-sex partners</w:t>
      </w:r>
    </w:p>
    <w:p w14:paraId="5F5EFBBD" w14:textId="77777777" w:rsidR="00AD7EB3" w:rsidRDefault="00000000">
      <w:pPr>
        <w:pStyle w:val="ListParagraph"/>
        <w:numPr>
          <w:ilvl w:val="0"/>
          <w:numId w:val="2"/>
        </w:numPr>
        <w:spacing w:line="360" w:lineRule="auto"/>
      </w:pPr>
      <w:r>
        <w:rPr>
          <w:rFonts w:ascii="Arial" w:hAnsi="Arial"/>
          <w:sz w:val="24"/>
        </w:rPr>
        <w:t>people going through gender reassignment</w:t>
      </w:r>
    </w:p>
    <w:p w14:paraId="59EC64B7" w14:textId="77777777" w:rsidR="00AD7EB3" w:rsidRDefault="00000000">
      <w:pPr>
        <w:pStyle w:val="ListParagraph"/>
        <w:numPr>
          <w:ilvl w:val="0"/>
          <w:numId w:val="2"/>
        </w:numPr>
        <w:spacing w:line="360" w:lineRule="auto"/>
      </w:pPr>
      <w:r>
        <w:rPr>
          <w:rFonts w:ascii="Arial" w:hAnsi="Arial"/>
          <w:sz w:val="24"/>
        </w:rPr>
        <w:t>disabled colleagues</w:t>
      </w:r>
    </w:p>
    <w:p w14:paraId="5CE09F43" w14:textId="77777777" w:rsidR="00AD7EB3" w:rsidRDefault="00000000">
      <w:pPr>
        <w:spacing w:line="360" w:lineRule="auto"/>
      </w:pPr>
      <w:r>
        <w:rPr>
          <w:rFonts w:ascii="Arial" w:hAnsi="Arial"/>
          <w:sz w:val="24"/>
        </w:rPr>
        <w:t>The average life expectancy for women in the UK is 83.2 years. This means many women live in the post-menopausal phase for between one-third and one-half of their life. Menopause symptoms can have a big impact on a woman's health, wellbeing, work and relationships.</w:t>
      </w:r>
    </w:p>
    <w:p>
      <w:pPr>
        <w:pStyle w:val="Heading2"/>
        <w:keepNext/>
        <w:spacing w:after="200" w:before="320" w:line="360" w:lineRule="auto"/>
        <w:jc w:val="left"/>
        <w:outlineLvl w:val="0"/>
      </w:pPr>
      <w:r>
        <w:rPr>
          <w:rFonts w:ascii="Arial" w:cs="Arial" w:eastAsia="Arial" w:hAnsi="Arial"/>
          <w:b/>
          <w:bCs/>
          <w:color w:val="262626"/>
          <w:sz w:val="32"/>
          <w:szCs w:val="32"/>
        </w:rPr>
        <w:t xml:space="preserve">Contents</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What is menopause?</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Menopause symptoms</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Workplace factors that can make symptoms worse</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Why it matters to support colleagues through menopause at work</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Menopause at work: for the manager</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Agreeing the process for further support</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Confidentiality and disclosure</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Wellbeing and mental health</w:t>
      </w:r>
    </w:p>
    <w:p>
      <w:pPr>
        <w:pStyle w:val="ListParagraph"/>
        <w:numPr>
          <w:ilvl w:val="0"/>
          <w:numId w:val="2"/>
        </w:numPr>
        <w:spacing w:after="100" w:line="360" w:lineRule="auto"/>
      </w:pPr>
      <w:r>
        <w:rPr>
          <w:rFonts w:ascii="Arial" w:cs="Arial" w:eastAsia="Arial" w:hAnsi="Arial"/>
          <w:b w:val="false"/>
          <w:bCs w:val="false"/>
          <w:color w:val="262626"/>
          <w:sz w:val="24"/>
          <w:szCs w:val="24"/>
        </w:rPr>
        <w:t xml:space="preserve">Workplace adjustments</w:t>
      </w:r>
    </w:p>
    <w:p w14:paraId="304AC4ED" w14:textId="77777777" w:rsidR="00AD7EB3" w:rsidRDefault="00000000">
      <w:pPr>
        <w:pStyle w:val="Heading1"/>
        <w:spacing w:line="360" w:lineRule="auto"/>
      </w:pPr>
      <w:r>
        <w:t>What is menopause?</w:t>
      </w:r>
    </w:p>
    <w:p w14:paraId="3F718E0A" w14:textId="77777777" w:rsidR="00AD7EB3" w:rsidRDefault="00000000">
      <w:pPr>
        <w:spacing w:line="360" w:lineRule="auto"/>
      </w:pPr>
      <w:r>
        <w:rPr>
          <w:rFonts w:ascii="Arial" w:hAnsi="Arial"/>
          <w:sz w:val="24"/>
        </w:rPr>
        <w:t>Menopause is a natural phase of life. During menopause, women stop having periods and go through hormonal changes, such as a drop in oestrogen levels.</w:t>
      </w:r>
    </w:p>
    <w:p w14:paraId="0262FC97" w14:textId="77777777" w:rsidR="00AD7EB3" w:rsidRDefault="00000000">
      <w:pPr>
        <w:spacing w:line="360" w:lineRule="auto"/>
      </w:pPr>
      <w:r>
        <w:rPr>
          <w:rFonts w:ascii="Arial" w:hAnsi="Arial"/>
          <w:sz w:val="24"/>
        </w:rPr>
        <w:lastRenderedPageBreak/>
        <w:t>Menopause usually happens between the ages of 45 and 55. It typically lasts between four and eight years, although it can last longer. Every woman's experience is different, and symptoms can start before the age of 40. Perimenopause is the transition period that begins before menopause.</w:t>
      </w:r>
    </w:p>
    <w:p w14:paraId="2A80D000" w14:textId="77777777" w:rsidR="00AD7EB3" w:rsidRDefault="00000000">
      <w:pPr>
        <w:spacing w:line="360" w:lineRule="auto"/>
      </w:pPr>
      <w:r>
        <w:rPr>
          <w:rFonts w:ascii="Arial" w:hAnsi="Arial"/>
          <w:sz w:val="24"/>
        </w:rPr>
        <w:t>For many women, menopause is a natural life change. For some women, though, menopause happens because of medical treatment. Surgery, such as a hysterectomy, and treatments such as chemotherapy can bring on menopause in younger women and cause severe symptoms.</w:t>
      </w:r>
    </w:p>
    <w:p w14:paraId="2AB84ABF" w14:textId="77777777" w:rsidR="00AD7EB3" w:rsidRDefault="00000000">
      <w:pPr>
        <w:spacing w:line="360" w:lineRule="auto"/>
      </w:pPr>
      <w:r>
        <w:rPr>
          <w:rFonts w:ascii="Arial" w:hAnsi="Arial"/>
          <w:sz w:val="24"/>
        </w:rPr>
        <w:t>For these women, menopause is not always a natural or gradual change, which can make the psychological impact greater. Menopause is a very personal experience for each individual.</w:t>
      </w:r>
    </w:p>
    <w:p w14:paraId="7B185B72" w14:textId="77777777" w:rsidR="00AD7EB3" w:rsidRDefault="00000000">
      <w:pPr>
        <w:pStyle w:val="ListParagraph"/>
        <w:numPr>
          <w:ilvl w:val="0"/>
          <w:numId w:val="2"/>
        </w:numPr>
        <w:spacing w:line="360" w:lineRule="auto"/>
      </w:pPr>
      <w:r>
        <w:rPr>
          <w:rFonts w:ascii="Arial" w:hAnsi="Arial"/>
          <w:b/>
          <w:sz w:val="24"/>
        </w:rPr>
        <w:t>Menopause:</w:t>
      </w:r>
      <w:r>
        <w:rPr>
          <w:rFonts w:ascii="Arial" w:hAnsi="Arial"/>
          <w:sz w:val="24"/>
        </w:rPr>
        <w:t xml:space="preserve"> a biological stage in a woman's life when she has not had a period for 12 months in a row.</w:t>
      </w:r>
    </w:p>
    <w:p w14:paraId="7079315A" w14:textId="77777777" w:rsidR="00AD7EB3" w:rsidRDefault="00000000">
      <w:pPr>
        <w:pStyle w:val="ListParagraph"/>
        <w:numPr>
          <w:ilvl w:val="0"/>
          <w:numId w:val="2"/>
        </w:numPr>
        <w:spacing w:line="360" w:lineRule="auto"/>
      </w:pPr>
      <w:r>
        <w:rPr>
          <w:rFonts w:ascii="Arial" w:hAnsi="Arial"/>
          <w:b/>
          <w:sz w:val="24"/>
        </w:rPr>
        <w:t>Perimenopause:</w:t>
      </w:r>
      <w:r>
        <w:rPr>
          <w:rFonts w:ascii="Arial" w:hAnsi="Arial"/>
          <w:sz w:val="24"/>
        </w:rPr>
        <w:t xml:space="preserve"> the time leading up to the end of periods, when changes start to happen.</w:t>
      </w:r>
    </w:p>
    <w:p w14:paraId="74673D28" w14:textId="77777777" w:rsidR="00AD7EB3" w:rsidRDefault="00000000">
      <w:pPr>
        <w:pStyle w:val="ListParagraph"/>
        <w:numPr>
          <w:ilvl w:val="0"/>
          <w:numId w:val="2"/>
        </w:numPr>
        <w:spacing w:line="360" w:lineRule="auto"/>
      </w:pPr>
      <w:r>
        <w:rPr>
          <w:rFonts w:ascii="Arial" w:hAnsi="Arial"/>
          <w:b/>
          <w:sz w:val="24"/>
        </w:rPr>
        <w:t>Premature menopause:</w:t>
      </w:r>
      <w:r>
        <w:rPr>
          <w:rFonts w:ascii="Arial" w:hAnsi="Arial"/>
          <w:sz w:val="24"/>
        </w:rPr>
        <w:t xml:space="preserve"> menopause that happens early. It can happen naturally, or because of illness or surgery.</w:t>
      </w:r>
    </w:p>
    <w:p w14:paraId="37A2244A" w14:textId="77777777" w:rsidR="00AD7EB3" w:rsidRDefault="00000000">
      <w:pPr>
        <w:pStyle w:val="Heading1"/>
        <w:spacing w:line="360" w:lineRule="auto"/>
      </w:pPr>
      <w:r>
        <w:t>Menopause symptoms</w:t>
      </w:r>
    </w:p>
    <w:p w14:paraId="6256EEFE" w14:textId="77777777" w:rsidR="00AD7EB3" w:rsidRDefault="00000000">
      <w:pPr>
        <w:spacing w:line="360" w:lineRule="auto"/>
      </w:pPr>
      <w:r>
        <w:rPr>
          <w:rFonts w:ascii="Arial" w:hAnsi="Arial"/>
          <w:sz w:val="24"/>
        </w:rPr>
        <w:t>Menopause can cause a wide range of symptoms. Doctors recognise 34 symptoms as part of menopause. This section groups them by the part of the body they affect.</w:t>
      </w:r>
    </w:p>
    <w:p w14:paraId="3C1B6462" w14:textId="77777777" w:rsidR="00AD7EB3" w:rsidRDefault="00000000">
      <w:pPr>
        <w:pStyle w:val="Heading2"/>
        <w:spacing w:line="360" w:lineRule="auto"/>
      </w:pPr>
      <w:r>
        <w:t>Brain and mood</w:t>
      </w:r>
    </w:p>
    <w:p w14:paraId="01E6E2D7" w14:textId="77777777" w:rsidR="00AD7EB3" w:rsidRDefault="00000000">
      <w:pPr>
        <w:pStyle w:val="ListParagraph"/>
        <w:numPr>
          <w:ilvl w:val="0"/>
          <w:numId w:val="2"/>
        </w:numPr>
        <w:spacing w:line="360" w:lineRule="auto"/>
      </w:pPr>
      <w:r>
        <w:rPr>
          <w:rFonts w:ascii="Arial" w:hAnsi="Arial"/>
          <w:sz w:val="24"/>
        </w:rPr>
        <w:t>depression and anxiety</w:t>
      </w:r>
    </w:p>
    <w:p w14:paraId="1199006A" w14:textId="77777777" w:rsidR="00AD7EB3" w:rsidRDefault="00000000">
      <w:pPr>
        <w:pStyle w:val="ListParagraph"/>
        <w:numPr>
          <w:ilvl w:val="0"/>
          <w:numId w:val="2"/>
        </w:numPr>
        <w:spacing w:line="360" w:lineRule="auto"/>
      </w:pPr>
      <w:r>
        <w:rPr>
          <w:rFonts w:ascii="Arial" w:hAnsi="Arial"/>
          <w:sz w:val="24"/>
        </w:rPr>
        <w:t>sleep problems, which can lead to tiredness</w:t>
      </w:r>
    </w:p>
    <w:p w14:paraId="35B19FBA" w14:textId="77777777" w:rsidR="00AD7EB3" w:rsidRDefault="00000000">
      <w:pPr>
        <w:pStyle w:val="ListParagraph"/>
        <w:numPr>
          <w:ilvl w:val="0"/>
          <w:numId w:val="2"/>
        </w:numPr>
        <w:spacing w:line="360" w:lineRule="auto"/>
      </w:pPr>
      <w:r>
        <w:rPr>
          <w:rFonts w:ascii="Arial" w:hAnsi="Arial"/>
          <w:sz w:val="24"/>
        </w:rPr>
        <w:lastRenderedPageBreak/>
        <w:t>fatigue and/or dizziness</w:t>
      </w:r>
    </w:p>
    <w:p w14:paraId="7A497C68" w14:textId="77777777" w:rsidR="00AD7EB3" w:rsidRDefault="00000000">
      <w:pPr>
        <w:pStyle w:val="ListParagraph"/>
        <w:numPr>
          <w:ilvl w:val="0"/>
          <w:numId w:val="2"/>
        </w:numPr>
        <w:spacing w:line="360" w:lineRule="auto"/>
      </w:pPr>
      <w:r>
        <w:rPr>
          <w:rFonts w:ascii="Arial" w:hAnsi="Arial"/>
          <w:sz w:val="24"/>
        </w:rPr>
        <w:t>brain fog, which can lead to reduced concentration</w:t>
      </w:r>
    </w:p>
    <w:p w14:paraId="703699D0" w14:textId="77777777" w:rsidR="00AD7EB3" w:rsidRDefault="00000000">
      <w:pPr>
        <w:pStyle w:val="ListParagraph"/>
        <w:numPr>
          <w:ilvl w:val="0"/>
          <w:numId w:val="2"/>
        </w:numPr>
        <w:spacing w:line="360" w:lineRule="auto"/>
      </w:pPr>
      <w:r>
        <w:rPr>
          <w:rFonts w:ascii="Arial" w:hAnsi="Arial"/>
          <w:sz w:val="24"/>
        </w:rPr>
        <w:t>poor information retention and a reduced ability to learn</w:t>
      </w:r>
    </w:p>
    <w:p w14:paraId="79B7C076" w14:textId="77777777" w:rsidR="00AD7EB3" w:rsidRDefault="00000000">
      <w:pPr>
        <w:pStyle w:val="ListParagraph"/>
        <w:numPr>
          <w:ilvl w:val="0"/>
          <w:numId w:val="2"/>
        </w:numPr>
        <w:spacing w:line="360" w:lineRule="auto"/>
      </w:pPr>
      <w:r>
        <w:rPr>
          <w:rFonts w:ascii="Arial" w:hAnsi="Arial"/>
          <w:sz w:val="24"/>
        </w:rPr>
        <w:t>unexplained mood swings</w:t>
      </w:r>
    </w:p>
    <w:p w14:paraId="195F7178" w14:textId="77777777" w:rsidR="00AD7EB3" w:rsidRDefault="00000000">
      <w:pPr>
        <w:pStyle w:val="ListParagraph"/>
        <w:numPr>
          <w:ilvl w:val="0"/>
          <w:numId w:val="2"/>
        </w:numPr>
        <w:spacing w:line="360" w:lineRule="auto"/>
      </w:pPr>
      <w:r>
        <w:rPr>
          <w:rFonts w:ascii="Arial" w:hAnsi="Arial"/>
          <w:sz w:val="24"/>
        </w:rPr>
        <w:t>irritability and emotional outbursts</w:t>
      </w:r>
    </w:p>
    <w:p w14:paraId="7D90D325" w14:textId="77777777" w:rsidR="00AD7EB3" w:rsidRDefault="00000000">
      <w:pPr>
        <w:spacing w:line="360" w:lineRule="auto"/>
      </w:pPr>
      <w:r>
        <w:rPr>
          <w:rFonts w:ascii="Arial" w:hAnsi="Arial"/>
          <w:sz w:val="24"/>
        </w:rPr>
        <w:t>These symptoms can affect a woman's coping strategies and her ability to deal with deadlines and priorities at work. She may also experience a lack of confidence, anxiety or panic disorder.</w:t>
      </w:r>
    </w:p>
    <w:p w14:paraId="38012861" w14:textId="77777777" w:rsidR="00AD7EB3" w:rsidRDefault="00000000">
      <w:pPr>
        <w:pStyle w:val="Heading2"/>
        <w:spacing w:line="360" w:lineRule="auto"/>
      </w:pPr>
      <w:r>
        <w:t>Hair and mouth</w:t>
      </w:r>
    </w:p>
    <w:p w14:paraId="1F76E77C" w14:textId="77777777" w:rsidR="00AD7EB3" w:rsidRDefault="00000000">
      <w:pPr>
        <w:pStyle w:val="ListParagraph"/>
        <w:numPr>
          <w:ilvl w:val="0"/>
          <w:numId w:val="2"/>
        </w:numPr>
        <w:spacing w:line="360" w:lineRule="auto"/>
      </w:pPr>
      <w:r>
        <w:rPr>
          <w:rFonts w:ascii="Arial" w:hAnsi="Arial"/>
          <w:sz w:val="24"/>
        </w:rPr>
        <w:t>hair loss, or hair that becomes thin and brittle</w:t>
      </w:r>
    </w:p>
    <w:p w14:paraId="2F9B3625" w14:textId="77777777" w:rsidR="00AD7EB3" w:rsidRDefault="00000000">
      <w:pPr>
        <w:pStyle w:val="ListParagraph"/>
        <w:numPr>
          <w:ilvl w:val="0"/>
          <w:numId w:val="2"/>
        </w:numPr>
        <w:spacing w:line="360" w:lineRule="auto"/>
      </w:pPr>
      <w:r>
        <w:rPr>
          <w:rFonts w:ascii="Arial" w:hAnsi="Arial"/>
          <w:sz w:val="24"/>
        </w:rPr>
        <w:t>mouth problems, such as bleeding gums and a dry mouth</w:t>
      </w:r>
    </w:p>
    <w:p w14:paraId="707908D3" w14:textId="77777777" w:rsidR="00AD7EB3" w:rsidRDefault="00000000">
      <w:pPr>
        <w:pStyle w:val="ListParagraph"/>
        <w:numPr>
          <w:ilvl w:val="0"/>
          <w:numId w:val="2"/>
        </w:numPr>
        <w:spacing w:line="360" w:lineRule="auto"/>
      </w:pPr>
      <w:r>
        <w:rPr>
          <w:rFonts w:ascii="Arial" w:hAnsi="Arial"/>
          <w:sz w:val="24"/>
        </w:rPr>
        <w:t>bad breath, which can result from mouth problems</w:t>
      </w:r>
    </w:p>
    <w:p w14:paraId="6E546941" w14:textId="77777777" w:rsidR="00AD7EB3" w:rsidRDefault="00000000">
      <w:pPr>
        <w:pStyle w:val="ListParagraph"/>
        <w:numPr>
          <w:ilvl w:val="0"/>
          <w:numId w:val="2"/>
        </w:numPr>
        <w:spacing w:line="360" w:lineRule="auto"/>
      </w:pPr>
      <w:r>
        <w:rPr>
          <w:rFonts w:ascii="Arial" w:hAnsi="Arial"/>
          <w:sz w:val="24"/>
        </w:rPr>
        <w:t>taste changes</w:t>
      </w:r>
    </w:p>
    <w:p w14:paraId="3756E451" w14:textId="77777777" w:rsidR="00AD7EB3" w:rsidRDefault="00000000">
      <w:pPr>
        <w:pStyle w:val="ListParagraph"/>
        <w:numPr>
          <w:ilvl w:val="0"/>
          <w:numId w:val="2"/>
        </w:numPr>
        <w:spacing w:line="360" w:lineRule="auto"/>
      </w:pPr>
      <w:r>
        <w:rPr>
          <w:rFonts w:ascii="Arial" w:hAnsi="Arial"/>
          <w:sz w:val="24"/>
        </w:rPr>
        <w:t>strange oral sensations, including a burning tongue</w:t>
      </w:r>
    </w:p>
    <w:p w14:paraId="1B81BB17" w14:textId="77777777" w:rsidR="00AD7EB3" w:rsidRDefault="00000000">
      <w:pPr>
        <w:pStyle w:val="Heading2"/>
        <w:spacing w:line="360" w:lineRule="auto"/>
      </w:pPr>
      <w:r>
        <w:t>Heart and lungs</w:t>
      </w:r>
    </w:p>
    <w:p w14:paraId="5AF315A7" w14:textId="77777777" w:rsidR="00AD7EB3" w:rsidRDefault="00000000">
      <w:pPr>
        <w:pStyle w:val="ListParagraph"/>
        <w:numPr>
          <w:ilvl w:val="0"/>
          <w:numId w:val="2"/>
        </w:numPr>
        <w:spacing w:line="360" w:lineRule="auto"/>
      </w:pPr>
      <w:r>
        <w:rPr>
          <w:rFonts w:ascii="Arial" w:hAnsi="Arial"/>
          <w:sz w:val="24"/>
        </w:rPr>
        <w:t>palpitations</w:t>
      </w:r>
    </w:p>
    <w:p w14:paraId="3A929FA1" w14:textId="77777777" w:rsidR="00AD7EB3" w:rsidRDefault="00000000">
      <w:pPr>
        <w:pStyle w:val="ListParagraph"/>
        <w:numPr>
          <w:ilvl w:val="0"/>
          <w:numId w:val="2"/>
        </w:numPr>
        <w:spacing w:line="360" w:lineRule="auto"/>
      </w:pPr>
      <w:r>
        <w:rPr>
          <w:rFonts w:ascii="Arial" w:hAnsi="Arial"/>
          <w:sz w:val="24"/>
        </w:rPr>
        <w:t>an increased risk of heart disease</w:t>
      </w:r>
    </w:p>
    <w:p w14:paraId="2602B5E9" w14:textId="77777777" w:rsidR="00AD7EB3" w:rsidRDefault="00000000">
      <w:pPr>
        <w:pStyle w:val="ListParagraph"/>
        <w:numPr>
          <w:ilvl w:val="0"/>
          <w:numId w:val="2"/>
        </w:numPr>
        <w:spacing w:line="360" w:lineRule="auto"/>
      </w:pPr>
      <w:r>
        <w:rPr>
          <w:rFonts w:ascii="Arial" w:hAnsi="Arial"/>
          <w:sz w:val="24"/>
        </w:rPr>
        <w:t>new allergies developing, or existing allergies getting worse, such as asthma or hay fever</w:t>
      </w:r>
    </w:p>
    <w:p w14:paraId="51097DFD" w14:textId="77777777" w:rsidR="00AD7EB3" w:rsidRDefault="00000000">
      <w:pPr>
        <w:pStyle w:val="ListParagraph"/>
        <w:numPr>
          <w:ilvl w:val="0"/>
          <w:numId w:val="2"/>
        </w:numPr>
        <w:spacing w:line="360" w:lineRule="auto"/>
      </w:pPr>
      <w:r>
        <w:rPr>
          <w:rFonts w:ascii="Arial" w:hAnsi="Arial"/>
          <w:sz w:val="24"/>
        </w:rPr>
        <w:t>dermatitis (see skin and nails, below)</w:t>
      </w:r>
    </w:p>
    <w:p w14:paraId="743344A6" w14:textId="77777777" w:rsidR="00AD7EB3" w:rsidRDefault="00000000">
      <w:pPr>
        <w:pStyle w:val="Heading2"/>
        <w:spacing w:line="360" w:lineRule="auto"/>
      </w:pPr>
      <w:r>
        <w:t>Abdomen and gut</w:t>
      </w:r>
    </w:p>
    <w:p w14:paraId="6DDD8A2A" w14:textId="77777777" w:rsidR="00AD7EB3" w:rsidRDefault="00000000">
      <w:pPr>
        <w:pStyle w:val="ListParagraph"/>
        <w:numPr>
          <w:ilvl w:val="0"/>
          <w:numId w:val="2"/>
        </w:numPr>
        <w:spacing w:line="360" w:lineRule="auto"/>
      </w:pPr>
      <w:r>
        <w:rPr>
          <w:rFonts w:ascii="Arial" w:hAnsi="Arial"/>
          <w:sz w:val="24"/>
        </w:rPr>
        <w:t>weight gain</w:t>
      </w:r>
    </w:p>
    <w:p w14:paraId="670A62D1" w14:textId="77777777" w:rsidR="00AD7EB3" w:rsidRDefault="00000000">
      <w:pPr>
        <w:pStyle w:val="ListParagraph"/>
        <w:numPr>
          <w:ilvl w:val="0"/>
          <w:numId w:val="2"/>
        </w:numPr>
        <w:spacing w:line="360" w:lineRule="auto"/>
      </w:pPr>
      <w:r>
        <w:rPr>
          <w:rFonts w:ascii="Arial" w:hAnsi="Arial"/>
          <w:sz w:val="24"/>
        </w:rPr>
        <w:t>bloating</w:t>
      </w:r>
    </w:p>
    <w:p w14:paraId="147DEBFB" w14:textId="77777777" w:rsidR="00AD7EB3" w:rsidRDefault="00000000">
      <w:pPr>
        <w:pStyle w:val="ListParagraph"/>
        <w:numPr>
          <w:ilvl w:val="0"/>
          <w:numId w:val="2"/>
        </w:numPr>
        <w:spacing w:line="360" w:lineRule="auto"/>
      </w:pPr>
      <w:r>
        <w:rPr>
          <w:rFonts w:ascii="Arial" w:hAnsi="Arial"/>
          <w:sz w:val="24"/>
        </w:rPr>
        <w:lastRenderedPageBreak/>
        <w:t>abdominal cramps</w:t>
      </w:r>
    </w:p>
    <w:p w14:paraId="3DD2BFEB" w14:textId="77777777" w:rsidR="00AD7EB3" w:rsidRDefault="00000000">
      <w:pPr>
        <w:pStyle w:val="ListParagraph"/>
        <w:numPr>
          <w:ilvl w:val="0"/>
          <w:numId w:val="2"/>
        </w:numPr>
        <w:spacing w:line="360" w:lineRule="auto"/>
      </w:pPr>
      <w:r>
        <w:rPr>
          <w:rFonts w:ascii="Arial" w:hAnsi="Arial"/>
          <w:sz w:val="24"/>
        </w:rPr>
        <w:t>Irritable Bowel Syndrome (IBS), a condition that affects the gut</w:t>
      </w:r>
    </w:p>
    <w:p w14:paraId="59197C00" w14:textId="77777777" w:rsidR="00AD7EB3" w:rsidRDefault="00000000">
      <w:pPr>
        <w:pStyle w:val="ListParagraph"/>
        <w:numPr>
          <w:ilvl w:val="0"/>
          <w:numId w:val="2"/>
        </w:numPr>
        <w:spacing w:line="360" w:lineRule="auto"/>
      </w:pPr>
      <w:r>
        <w:rPr>
          <w:rFonts w:ascii="Arial" w:hAnsi="Arial"/>
          <w:sz w:val="24"/>
        </w:rPr>
        <w:t>sickness or nausea</w:t>
      </w:r>
    </w:p>
    <w:p w14:paraId="41B6FFD7" w14:textId="77777777" w:rsidR="00AD7EB3" w:rsidRDefault="00000000">
      <w:pPr>
        <w:pStyle w:val="ListParagraph"/>
        <w:numPr>
          <w:ilvl w:val="0"/>
          <w:numId w:val="2"/>
        </w:numPr>
        <w:spacing w:line="360" w:lineRule="auto"/>
      </w:pPr>
      <w:r>
        <w:rPr>
          <w:rFonts w:ascii="Arial" w:hAnsi="Arial"/>
          <w:sz w:val="24"/>
        </w:rPr>
        <w:t>urogenital problems, which can cause greater urgency or more frequent trips to the toilet</w:t>
      </w:r>
    </w:p>
    <w:p w14:paraId="2481ADE7" w14:textId="77777777" w:rsidR="00AD7EB3" w:rsidRDefault="00000000">
      <w:pPr>
        <w:pStyle w:val="Heading2"/>
        <w:spacing w:line="360" w:lineRule="auto"/>
      </w:pPr>
      <w:r>
        <w:t>Periods</w:t>
      </w:r>
    </w:p>
    <w:p w14:paraId="1DF945BF" w14:textId="77777777" w:rsidR="00AD7EB3" w:rsidRDefault="00000000">
      <w:pPr>
        <w:pStyle w:val="ListParagraph"/>
        <w:numPr>
          <w:ilvl w:val="0"/>
          <w:numId w:val="2"/>
        </w:numPr>
        <w:spacing w:line="360" w:lineRule="auto"/>
      </w:pPr>
      <w:r>
        <w:rPr>
          <w:rFonts w:ascii="Arial" w:hAnsi="Arial"/>
          <w:sz w:val="24"/>
        </w:rPr>
        <w:t>irregular periods</w:t>
      </w:r>
    </w:p>
    <w:p w14:paraId="7EF56728" w14:textId="77777777" w:rsidR="00AD7EB3" w:rsidRDefault="00000000">
      <w:pPr>
        <w:pStyle w:val="ListParagraph"/>
        <w:numPr>
          <w:ilvl w:val="0"/>
          <w:numId w:val="2"/>
        </w:numPr>
        <w:spacing w:line="360" w:lineRule="auto"/>
      </w:pPr>
      <w:r>
        <w:rPr>
          <w:rFonts w:ascii="Arial" w:hAnsi="Arial"/>
          <w:sz w:val="24"/>
        </w:rPr>
        <w:t>unpredictable pre-menstrual tension</w:t>
      </w:r>
    </w:p>
    <w:p w14:paraId="27836145" w14:textId="77777777" w:rsidR="00AD7EB3" w:rsidRDefault="00000000">
      <w:pPr>
        <w:pStyle w:val="ListParagraph"/>
        <w:numPr>
          <w:ilvl w:val="0"/>
          <w:numId w:val="2"/>
        </w:numPr>
        <w:spacing w:line="360" w:lineRule="auto"/>
      </w:pPr>
      <w:r>
        <w:rPr>
          <w:rFonts w:ascii="Arial" w:hAnsi="Arial"/>
          <w:sz w:val="24"/>
        </w:rPr>
        <w:t>an unpredictable menstrual cycle</w:t>
      </w:r>
    </w:p>
    <w:p w14:paraId="763751BB" w14:textId="77777777" w:rsidR="00AD7EB3" w:rsidRDefault="00000000">
      <w:pPr>
        <w:pStyle w:val="ListParagraph"/>
        <w:numPr>
          <w:ilvl w:val="0"/>
          <w:numId w:val="2"/>
        </w:numPr>
        <w:spacing w:line="360" w:lineRule="auto"/>
      </w:pPr>
      <w:r>
        <w:rPr>
          <w:rFonts w:ascii="Arial" w:hAnsi="Arial"/>
          <w:sz w:val="24"/>
        </w:rPr>
        <w:t>heavy bleeding</w:t>
      </w:r>
    </w:p>
    <w:p w14:paraId="43475F94" w14:textId="77777777" w:rsidR="00AD7EB3" w:rsidRDefault="00000000">
      <w:pPr>
        <w:pStyle w:val="ListParagraph"/>
        <w:numPr>
          <w:ilvl w:val="0"/>
          <w:numId w:val="2"/>
        </w:numPr>
        <w:spacing w:line="360" w:lineRule="auto"/>
      </w:pPr>
      <w:r>
        <w:rPr>
          <w:rFonts w:ascii="Arial" w:hAnsi="Arial"/>
          <w:sz w:val="24"/>
        </w:rPr>
        <w:t>water retention and bloating</w:t>
      </w:r>
    </w:p>
    <w:p w14:paraId="242A994B" w14:textId="77777777" w:rsidR="00AD7EB3" w:rsidRDefault="00000000">
      <w:pPr>
        <w:pStyle w:val="Heading2"/>
        <w:spacing w:line="360" w:lineRule="auto"/>
      </w:pPr>
      <w:r>
        <w:t>Skin and nails</w:t>
      </w:r>
    </w:p>
    <w:p w14:paraId="114794A3" w14:textId="77777777" w:rsidR="00AD7EB3" w:rsidRDefault="00000000">
      <w:pPr>
        <w:pStyle w:val="ListParagraph"/>
        <w:numPr>
          <w:ilvl w:val="0"/>
          <w:numId w:val="2"/>
        </w:numPr>
        <w:spacing w:line="360" w:lineRule="auto"/>
      </w:pPr>
      <w:r>
        <w:rPr>
          <w:rFonts w:ascii="Arial" w:hAnsi="Arial"/>
          <w:sz w:val="24"/>
        </w:rPr>
        <w:t>general skin itchiness</w:t>
      </w:r>
    </w:p>
    <w:p w14:paraId="021DE226" w14:textId="77777777" w:rsidR="00AD7EB3" w:rsidRDefault="00000000">
      <w:pPr>
        <w:pStyle w:val="ListParagraph"/>
        <w:numPr>
          <w:ilvl w:val="0"/>
          <w:numId w:val="2"/>
        </w:numPr>
        <w:spacing w:line="360" w:lineRule="auto"/>
      </w:pPr>
      <w:r>
        <w:rPr>
          <w:rFonts w:ascii="Arial" w:hAnsi="Arial"/>
          <w:sz w:val="24"/>
        </w:rPr>
        <w:t>formication (a feeling like something is crawling under the skin)</w:t>
      </w:r>
    </w:p>
    <w:p w14:paraId="4F79705E" w14:textId="77777777" w:rsidR="00AD7EB3" w:rsidRDefault="00000000">
      <w:pPr>
        <w:pStyle w:val="ListParagraph"/>
        <w:numPr>
          <w:ilvl w:val="0"/>
          <w:numId w:val="2"/>
        </w:numPr>
        <w:spacing w:line="360" w:lineRule="auto"/>
      </w:pPr>
      <w:r>
        <w:rPr>
          <w:rFonts w:ascii="Arial" w:hAnsi="Arial"/>
          <w:sz w:val="24"/>
        </w:rPr>
        <w:t>allergies, such as dermatitis</w:t>
      </w:r>
    </w:p>
    <w:p w14:paraId="00D8B892" w14:textId="77777777" w:rsidR="00AD7EB3" w:rsidRDefault="00000000">
      <w:pPr>
        <w:pStyle w:val="ListParagraph"/>
        <w:numPr>
          <w:ilvl w:val="0"/>
          <w:numId w:val="2"/>
        </w:numPr>
        <w:spacing w:line="360" w:lineRule="auto"/>
      </w:pPr>
      <w:r>
        <w:rPr>
          <w:rFonts w:ascii="Arial" w:hAnsi="Arial"/>
          <w:sz w:val="24"/>
        </w:rPr>
        <w:t>thinning skin</w:t>
      </w:r>
    </w:p>
    <w:p w14:paraId="152D6B2B" w14:textId="77777777" w:rsidR="00AD7EB3" w:rsidRDefault="00000000">
      <w:pPr>
        <w:pStyle w:val="ListParagraph"/>
        <w:numPr>
          <w:ilvl w:val="0"/>
          <w:numId w:val="2"/>
        </w:numPr>
        <w:spacing w:line="360" w:lineRule="auto"/>
      </w:pPr>
      <w:r>
        <w:rPr>
          <w:rFonts w:ascii="Arial" w:hAnsi="Arial"/>
          <w:sz w:val="24"/>
        </w:rPr>
        <w:t>dry, brittle nails</w:t>
      </w:r>
    </w:p>
    <w:p w14:paraId="0A7517F5" w14:textId="77777777" w:rsidR="00AD7EB3" w:rsidRDefault="00000000">
      <w:pPr>
        <w:pStyle w:val="Heading2"/>
        <w:spacing w:line="360" w:lineRule="auto"/>
      </w:pPr>
      <w:r>
        <w:t>Muscles, joints, nerves and bones</w:t>
      </w:r>
    </w:p>
    <w:p w14:paraId="4924CDFC" w14:textId="77777777" w:rsidR="00AD7EB3" w:rsidRDefault="00000000">
      <w:pPr>
        <w:pStyle w:val="ListParagraph"/>
        <w:numPr>
          <w:ilvl w:val="0"/>
          <w:numId w:val="2"/>
        </w:numPr>
        <w:spacing w:line="360" w:lineRule="auto"/>
      </w:pPr>
      <w:r>
        <w:rPr>
          <w:rFonts w:ascii="Arial" w:hAnsi="Arial"/>
          <w:sz w:val="24"/>
        </w:rPr>
        <w:t>muscle pain and weakness</w:t>
      </w:r>
    </w:p>
    <w:p w14:paraId="23FF12AE" w14:textId="77777777" w:rsidR="00AD7EB3" w:rsidRDefault="00000000">
      <w:pPr>
        <w:pStyle w:val="ListParagraph"/>
        <w:numPr>
          <w:ilvl w:val="0"/>
          <w:numId w:val="2"/>
        </w:numPr>
        <w:spacing w:line="360" w:lineRule="auto"/>
      </w:pPr>
      <w:r>
        <w:rPr>
          <w:rFonts w:ascii="Arial" w:hAnsi="Arial"/>
          <w:sz w:val="24"/>
        </w:rPr>
        <w:t>joint pain</w:t>
      </w:r>
    </w:p>
    <w:p w14:paraId="0B7C5C01" w14:textId="77777777" w:rsidR="00AD7EB3" w:rsidRDefault="00000000">
      <w:pPr>
        <w:pStyle w:val="ListParagraph"/>
        <w:numPr>
          <w:ilvl w:val="0"/>
          <w:numId w:val="2"/>
        </w:numPr>
        <w:spacing w:line="360" w:lineRule="auto"/>
      </w:pPr>
      <w:r>
        <w:rPr>
          <w:rFonts w:ascii="Arial" w:hAnsi="Arial"/>
          <w:sz w:val="24"/>
        </w:rPr>
        <w:t>osteoporosis, or loss of bone density</w:t>
      </w:r>
    </w:p>
    <w:p w14:paraId="3CE24E15" w14:textId="77777777" w:rsidR="00AD7EB3" w:rsidRDefault="00000000">
      <w:pPr>
        <w:pStyle w:val="ListParagraph"/>
        <w:numPr>
          <w:ilvl w:val="0"/>
          <w:numId w:val="2"/>
        </w:numPr>
        <w:spacing w:line="360" w:lineRule="auto"/>
      </w:pPr>
      <w:r>
        <w:rPr>
          <w:rFonts w:ascii="Arial" w:hAnsi="Arial"/>
          <w:sz w:val="24"/>
        </w:rPr>
        <w:t>changes to nerve function</w:t>
      </w:r>
    </w:p>
    <w:p w14:paraId="50DA4C8D" w14:textId="77777777" w:rsidR="00AD7EB3" w:rsidRDefault="00000000">
      <w:pPr>
        <w:pStyle w:val="Heading2"/>
        <w:spacing w:line="360" w:lineRule="auto"/>
      </w:pPr>
      <w:r>
        <w:lastRenderedPageBreak/>
        <w:t>Body temperature</w:t>
      </w:r>
    </w:p>
    <w:p w14:paraId="61B79DA7" w14:textId="77777777" w:rsidR="00AD7EB3" w:rsidRDefault="00000000">
      <w:pPr>
        <w:pStyle w:val="ListParagraph"/>
        <w:numPr>
          <w:ilvl w:val="0"/>
          <w:numId w:val="2"/>
        </w:numPr>
        <w:spacing w:line="360" w:lineRule="auto"/>
      </w:pPr>
      <w:r>
        <w:rPr>
          <w:rFonts w:ascii="Arial" w:hAnsi="Arial"/>
          <w:sz w:val="24"/>
        </w:rPr>
        <w:t>daytime sweats and flushes</w:t>
      </w:r>
    </w:p>
    <w:p w14:paraId="5C28071A" w14:textId="77777777" w:rsidR="00AD7EB3" w:rsidRDefault="00000000">
      <w:pPr>
        <w:pStyle w:val="ListParagraph"/>
        <w:numPr>
          <w:ilvl w:val="0"/>
          <w:numId w:val="2"/>
        </w:numPr>
        <w:spacing w:line="360" w:lineRule="auto"/>
      </w:pPr>
      <w:r>
        <w:rPr>
          <w:rFonts w:ascii="Arial" w:hAnsi="Arial"/>
          <w:sz w:val="24"/>
        </w:rPr>
        <w:t>sudden heat or redness in the face</w:t>
      </w:r>
    </w:p>
    <w:p w14:paraId="06A55ED2" w14:textId="77777777" w:rsidR="00AD7EB3" w:rsidRDefault="00000000">
      <w:pPr>
        <w:pStyle w:val="ListParagraph"/>
        <w:numPr>
          <w:ilvl w:val="0"/>
          <w:numId w:val="2"/>
        </w:numPr>
        <w:spacing w:line="360" w:lineRule="auto"/>
      </w:pPr>
      <w:r>
        <w:rPr>
          <w:rFonts w:ascii="Arial" w:hAnsi="Arial"/>
          <w:sz w:val="24"/>
        </w:rPr>
        <w:t>night-time sweats and flushes</w:t>
      </w:r>
    </w:p>
    <w:p w14:paraId="113340C2" w14:textId="77777777" w:rsidR="00AD7EB3" w:rsidRDefault="00000000">
      <w:pPr>
        <w:pStyle w:val="Heading2"/>
        <w:spacing w:line="360" w:lineRule="auto"/>
      </w:pPr>
      <w:r>
        <w:t>Other symptoms</w:t>
      </w:r>
    </w:p>
    <w:p w14:paraId="76481B3B" w14:textId="77777777" w:rsidR="00AD7EB3" w:rsidRDefault="00000000">
      <w:pPr>
        <w:pStyle w:val="ListParagraph"/>
        <w:numPr>
          <w:ilvl w:val="0"/>
          <w:numId w:val="2"/>
        </w:numPr>
        <w:spacing w:line="360" w:lineRule="auto"/>
      </w:pPr>
      <w:r>
        <w:rPr>
          <w:rFonts w:ascii="Arial" w:hAnsi="Arial"/>
          <w:sz w:val="24"/>
        </w:rPr>
        <w:t>loss of libido</w:t>
      </w:r>
    </w:p>
    <w:p w14:paraId="47498E95" w14:textId="77777777" w:rsidR="00AD7EB3" w:rsidRDefault="00000000">
      <w:pPr>
        <w:pStyle w:val="ListParagraph"/>
        <w:numPr>
          <w:ilvl w:val="0"/>
          <w:numId w:val="2"/>
        </w:numPr>
        <w:spacing w:line="360" w:lineRule="auto"/>
      </w:pPr>
      <w:r>
        <w:rPr>
          <w:rFonts w:ascii="Arial" w:hAnsi="Arial"/>
          <w:sz w:val="24"/>
        </w:rPr>
        <w:t>vaginal dryness and/or atrophy</w:t>
      </w:r>
    </w:p>
    <w:p w14:paraId="6BEFD68C" w14:textId="77777777" w:rsidR="00AD7EB3" w:rsidRDefault="00000000">
      <w:pPr>
        <w:pStyle w:val="ListParagraph"/>
        <w:numPr>
          <w:ilvl w:val="0"/>
          <w:numId w:val="2"/>
        </w:numPr>
        <w:spacing w:line="360" w:lineRule="auto"/>
      </w:pPr>
      <w:r>
        <w:rPr>
          <w:rFonts w:ascii="Arial" w:hAnsi="Arial"/>
          <w:sz w:val="24"/>
        </w:rPr>
        <w:t>incontinence</w:t>
      </w:r>
    </w:p>
    <w:p w14:paraId="6B06B2B1" w14:textId="77777777" w:rsidR="00AD7EB3" w:rsidRDefault="00000000">
      <w:pPr>
        <w:pStyle w:val="ListParagraph"/>
        <w:numPr>
          <w:ilvl w:val="0"/>
          <w:numId w:val="2"/>
        </w:numPr>
        <w:spacing w:line="360" w:lineRule="auto"/>
      </w:pPr>
      <w:r>
        <w:rPr>
          <w:rFonts w:ascii="Arial" w:hAnsi="Arial"/>
          <w:sz w:val="24"/>
        </w:rPr>
        <w:t>breast pain</w:t>
      </w:r>
    </w:p>
    <w:p w14:paraId="7B0217A0" w14:textId="77777777" w:rsidR="00AD7EB3" w:rsidRDefault="00000000">
      <w:pPr>
        <w:pStyle w:val="ListParagraph"/>
        <w:numPr>
          <w:ilvl w:val="0"/>
          <w:numId w:val="2"/>
        </w:numPr>
        <w:spacing w:line="360" w:lineRule="auto"/>
      </w:pPr>
      <w:r>
        <w:rPr>
          <w:rFonts w:ascii="Arial" w:hAnsi="Arial"/>
          <w:sz w:val="24"/>
        </w:rPr>
        <w:t>headaches</w:t>
      </w:r>
    </w:p>
    <w:p w14:paraId="1A51418D" w14:textId="77777777" w:rsidR="00AD7EB3" w:rsidRDefault="00000000">
      <w:pPr>
        <w:pStyle w:val="Heading1"/>
        <w:spacing w:line="360" w:lineRule="auto"/>
      </w:pPr>
      <w:r>
        <w:t>Workplace factors that can make symptoms worse</w:t>
      </w:r>
    </w:p>
    <w:p w14:paraId="3A4C6B68" w14:textId="77777777" w:rsidR="00AD7EB3" w:rsidRDefault="00000000">
      <w:pPr>
        <w:pStyle w:val="ListParagraph"/>
        <w:numPr>
          <w:ilvl w:val="0"/>
          <w:numId w:val="2"/>
        </w:numPr>
        <w:spacing w:line="360" w:lineRule="auto"/>
      </w:pPr>
      <w:r>
        <w:rPr>
          <w:rFonts w:ascii="Arial" w:hAnsi="Arial"/>
          <w:sz w:val="24"/>
        </w:rPr>
        <w:t>high temperature</w:t>
      </w:r>
    </w:p>
    <w:p w14:paraId="20C13C91" w14:textId="77777777" w:rsidR="00AD7EB3" w:rsidRDefault="00000000">
      <w:pPr>
        <w:pStyle w:val="ListParagraph"/>
        <w:numPr>
          <w:ilvl w:val="0"/>
          <w:numId w:val="2"/>
        </w:numPr>
        <w:spacing w:line="360" w:lineRule="auto"/>
      </w:pPr>
      <w:r>
        <w:rPr>
          <w:rFonts w:ascii="Arial" w:hAnsi="Arial"/>
          <w:sz w:val="24"/>
        </w:rPr>
        <w:t>poor ventilation</w:t>
      </w:r>
    </w:p>
    <w:p w14:paraId="303D3A9A" w14:textId="77777777" w:rsidR="00AD7EB3" w:rsidRDefault="00000000">
      <w:pPr>
        <w:pStyle w:val="ListParagraph"/>
        <w:numPr>
          <w:ilvl w:val="0"/>
          <w:numId w:val="2"/>
        </w:numPr>
        <w:spacing w:line="360" w:lineRule="auto"/>
      </w:pPr>
      <w:r>
        <w:rPr>
          <w:rFonts w:ascii="Arial" w:hAnsi="Arial"/>
          <w:sz w:val="24"/>
        </w:rPr>
        <w:t>humidity</w:t>
      </w:r>
    </w:p>
    <w:p w14:paraId="37FDFB11" w14:textId="77777777" w:rsidR="00AD7EB3" w:rsidRDefault="00000000">
      <w:pPr>
        <w:pStyle w:val="ListParagraph"/>
        <w:numPr>
          <w:ilvl w:val="0"/>
          <w:numId w:val="2"/>
        </w:numPr>
        <w:spacing w:line="360" w:lineRule="auto"/>
      </w:pPr>
      <w:r>
        <w:rPr>
          <w:rFonts w:ascii="Arial" w:hAnsi="Arial"/>
          <w:sz w:val="24"/>
        </w:rPr>
        <w:t>no quiet or restful space, or no access to one</w:t>
      </w:r>
    </w:p>
    <w:p w14:paraId="25957BD7" w14:textId="77777777" w:rsidR="00AD7EB3" w:rsidRDefault="00000000">
      <w:pPr>
        <w:pStyle w:val="ListParagraph"/>
        <w:numPr>
          <w:ilvl w:val="0"/>
          <w:numId w:val="2"/>
        </w:numPr>
        <w:spacing w:line="360" w:lineRule="auto"/>
      </w:pPr>
      <w:r>
        <w:rPr>
          <w:rFonts w:ascii="Arial" w:hAnsi="Arial"/>
          <w:sz w:val="24"/>
        </w:rPr>
        <w:t>noise</w:t>
      </w:r>
    </w:p>
    <w:p w14:paraId="72BCB793" w14:textId="77777777" w:rsidR="00AD7EB3" w:rsidRDefault="00000000">
      <w:pPr>
        <w:pStyle w:val="ListParagraph"/>
        <w:numPr>
          <w:ilvl w:val="0"/>
          <w:numId w:val="2"/>
        </w:numPr>
        <w:spacing w:line="360" w:lineRule="auto"/>
      </w:pPr>
      <w:r>
        <w:rPr>
          <w:rFonts w:ascii="Arial" w:hAnsi="Arial"/>
          <w:sz w:val="24"/>
        </w:rPr>
        <w:t>lack of natural light</w:t>
      </w:r>
    </w:p>
    <w:p w14:paraId="4CDB85C0" w14:textId="77777777" w:rsidR="00AD7EB3" w:rsidRDefault="00000000">
      <w:pPr>
        <w:pStyle w:val="Heading1"/>
        <w:spacing w:line="360" w:lineRule="auto"/>
      </w:pPr>
      <w:r>
        <w:lastRenderedPageBreak/>
        <w:t>Why it matters to support colleagues through menopause at work</w:t>
      </w:r>
    </w:p>
    <w:p w14:paraId="1CA700A0" w14:textId="77777777" w:rsidR="00AD7EB3" w:rsidRDefault="00000000">
      <w:pPr>
        <w:pStyle w:val="Heading2"/>
        <w:spacing w:line="360" w:lineRule="auto"/>
      </w:pPr>
      <w:r>
        <w:t>Menopause affects everyone, not just women</w:t>
      </w:r>
    </w:p>
    <w:p w14:paraId="4DCFC6DA" w14:textId="77777777" w:rsidR="00AD7EB3" w:rsidRDefault="00000000">
      <w:pPr>
        <w:spacing w:line="360" w:lineRule="auto"/>
      </w:pPr>
      <w:r>
        <w:rPr>
          <w:rFonts w:ascii="Arial" w:hAnsi="Arial"/>
          <w:sz w:val="24"/>
        </w:rPr>
        <w:t>Menopause can affect someone directly, as a woman going through it, or indirectly, as a colleague or partner. Education and information help people feel able to talk openly about menopause.</w:t>
      </w:r>
    </w:p>
    <w:p w14:paraId="370C7309" w14:textId="77777777" w:rsidR="00AD7EB3" w:rsidRDefault="00000000">
      <w:pPr>
        <w:pStyle w:val="Heading2"/>
        <w:spacing w:line="360" w:lineRule="auto"/>
      </w:pPr>
      <w:r>
        <w:t>Supportive, human conversations make the difference</w:t>
      </w:r>
    </w:p>
    <w:p w14:paraId="73A5F1F0" w14:textId="77777777" w:rsidR="00AD7EB3" w:rsidRDefault="00000000">
      <w:pPr>
        <w:spacing w:line="360" w:lineRule="auto"/>
      </w:pPr>
      <w:r>
        <w:rPr>
          <w:rFonts w:ascii="Arial" w:hAnsi="Arial"/>
          <w:sz w:val="24"/>
        </w:rPr>
        <w:t>When line managers know how to have these conversations, and have a clear framework to follow, women feel supported at work.</w:t>
      </w:r>
    </w:p>
    <w:p w14:paraId="403F83F1" w14:textId="77777777" w:rsidR="00AD7EB3" w:rsidRDefault="00000000">
      <w:pPr>
        <w:pStyle w:val="Heading2"/>
        <w:spacing w:line="360" w:lineRule="auto"/>
      </w:pPr>
      <w:r>
        <w:t>A healthy environment and culture is better for everyone</w:t>
      </w:r>
    </w:p>
    <w:p w14:paraId="5FB582D9" w14:textId="77777777" w:rsidR="00AD7EB3" w:rsidRDefault="00000000">
      <w:pPr>
        <w:spacing w:line="360" w:lineRule="auto"/>
      </w:pPr>
      <w:r>
        <w:rPr>
          <w:rFonts w:ascii="Arial" w:hAnsi="Arial"/>
          <w:sz w:val="24"/>
        </w:rPr>
        <w:t>An open and honest workplace culture helps everyone do well at work.</w:t>
      </w:r>
    </w:p>
    <w:p w14:paraId="5169B7EA" w14:textId="77777777" w:rsidR="00AD7EB3" w:rsidRDefault="00000000">
      <w:pPr>
        <w:pStyle w:val="Heading2"/>
        <w:spacing w:line="360" w:lineRule="auto"/>
      </w:pPr>
      <w:r>
        <w:t>Retaining talent</w:t>
      </w:r>
    </w:p>
    <w:p w14:paraId="5FC17A3A" w14:textId="77777777" w:rsidR="00AD7EB3" w:rsidRDefault="00000000">
      <w:pPr>
        <w:spacing w:line="360" w:lineRule="auto"/>
      </w:pPr>
      <w:r>
        <w:rPr>
          <w:rFonts w:ascii="Arial" w:hAnsi="Arial"/>
          <w:sz w:val="24"/>
        </w:rPr>
        <w:t>25% of women going through menopause have thought about leaving their job because of their symptoms. The right support can help the organisation keep experienced employees and save money on recruitment. This benefits both the individual and the business.</w:t>
      </w:r>
    </w:p>
    <w:p w14:paraId="1C7AE454" w14:textId="77777777" w:rsidR="00AD7EB3" w:rsidRDefault="00000000">
      <w:pPr>
        <w:pStyle w:val="Heading2"/>
        <w:spacing w:line="360" w:lineRule="auto"/>
      </w:pPr>
      <w:r>
        <w:t>Enabling women to be their best at work</w:t>
      </w:r>
    </w:p>
    <w:p w14:paraId="31963B84" w14:textId="77777777" w:rsidR="00AD7EB3" w:rsidRDefault="00000000">
      <w:pPr>
        <w:spacing w:line="360" w:lineRule="auto"/>
      </w:pPr>
      <w:r>
        <w:rPr>
          <w:rFonts w:ascii="Arial" w:hAnsi="Arial"/>
          <w:sz w:val="24"/>
        </w:rPr>
        <w:t>Physical and psychological symptoms can hold back a woman's career. The right support, and open communication, helps women and their teams perform at their best.</w:t>
      </w:r>
    </w:p>
    <w:p w14:paraId="6B75F7FD" w14:textId="77777777" w:rsidR="00AD7EB3" w:rsidRDefault="00000000">
      <w:pPr>
        <w:pStyle w:val="Heading1"/>
        <w:spacing w:line="360" w:lineRule="auto"/>
      </w:pPr>
      <w:r>
        <w:lastRenderedPageBreak/>
        <w:t>Menopause at work: for the manager</w:t>
      </w:r>
    </w:p>
    <w:p w14:paraId="27B7983A" w14:textId="77777777" w:rsidR="00AD7EB3" w:rsidRDefault="00000000">
      <w:pPr>
        <w:spacing w:line="360" w:lineRule="auto"/>
      </w:pPr>
      <w:r>
        <w:rPr>
          <w:rFonts w:ascii="Arial" w:hAnsi="Arial"/>
          <w:sz w:val="24"/>
        </w:rPr>
        <w:t>As a manager, your role is to have a supportive conversation with your employee. You do not need to be an expert, a healthcare professional or an occupational health adviser to talk about menopause. You should always advise the employee to speak to occupational health and/or their GP (family doctor) for further support.</w:t>
      </w:r>
    </w:p>
    <w:p w14:paraId="4957B187" w14:textId="77777777" w:rsidR="00AD7EB3" w:rsidRDefault="00000000">
      <w:pPr>
        <w:spacing w:line="360" w:lineRule="auto"/>
      </w:pPr>
      <w:r>
        <w:rPr>
          <w:rFonts w:ascii="Arial" w:hAnsi="Arial"/>
          <w:sz w:val="24"/>
        </w:rPr>
        <w:t>When an employee tells you about menopause issues, you should try to understand what they need from you.</w:t>
      </w:r>
    </w:p>
    <w:p w14:paraId="44425452" w14:textId="77777777" w:rsidR="00AD7EB3" w:rsidRDefault="00000000">
      <w:pPr>
        <w:spacing w:line="360" w:lineRule="auto"/>
      </w:pPr>
      <w:r>
        <w:rPr>
          <w:rFonts w:ascii="Arial" w:hAnsi="Arial"/>
          <w:sz w:val="24"/>
        </w:rPr>
        <w:t>The employee may have already spoken to a colleague, a different manager or the HR department before talking to you.</w:t>
      </w:r>
    </w:p>
    <w:p w14:paraId="3FA9A42F" w14:textId="77777777" w:rsidR="00AD7EB3" w:rsidRDefault="00000000">
      <w:pPr>
        <w:pStyle w:val="Heading2"/>
        <w:spacing w:line="360" w:lineRule="auto"/>
      </w:pPr>
      <w:r>
        <w:t>What you should do</w:t>
      </w:r>
    </w:p>
    <w:p w14:paraId="6A0C631B" w14:textId="77777777" w:rsidR="00AD7EB3" w:rsidRDefault="00000000">
      <w:pPr>
        <w:pStyle w:val="ListParagraph"/>
        <w:numPr>
          <w:ilvl w:val="0"/>
          <w:numId w:val="2"/>
        </w:numPr>
        <w:spacing w:line="360" w:lineRule="auto"/>
      </w:pPr>
      <w:r>
        <w:rPr>
          <w:rFonts w:ascii="Arial" w:hAnsi="Arial"/>
          <w:sz w:val="24"/>
        </w:rPr>
        <w:t>Remember that every employee's experience of menopause is unique, and avoid making assumptions.</w:t>
      </w:r>
    </w:p>
    <w:p w14:paraId="7843004F" w14:textId="77777777" w:rsidR="00AD7EB3" w:rsidRDefault="00000000">
      <w:pPr>
        <w:pStyle w:val="ListParagraph"/>
        <w:numPr>
          <w:ilvl w:val="0"/>
          <w:numId w:val="2"/>
        </w:numPr>
        <w:spacing w:line="360" w:lineRule="auto"/>
      </w:pPr>
      <w:r>
        <w:rPr>
          <w:rFonts w:ascii="Arial" w:hAnsi="Arial"/>
          <w:sz w:val="24"/>
        </w:rPr>
        <w:t>Treat everything the employee tells you as strictly confidential, and do not share it further without their consent.</w:t>
      </w:r>
    </w:p>
    <w:p w14:paraId="3D6FE06B" w14:textId="77777777" w:rsidR="00AD7EB3" w:rsidRDefault="00000000">
      <w:pPr>
        <w:pStyle w:val="ListParagraph"/>
        <w:numPr>
          <w:ilvl w:val="0"/>
          <w:numId w:val="2"/>
        </w:numPr>
        <w:spacing w:line="360" w:lineRule="auto"/>
      </w:pPr>
      <w:r>
        <w:rPr>
          <w:rFonts w:ascii="Arial" w:hAnsi="Arial"/>
          <w:sz w:val="24"/>
        </w:rPr>
        <w:t>Listen to your employee and try to understand their concerns about their symptoms, without making assumptions.</w:t>
      </w:r>
    </w:p>
    <w:p w14:paraId="08013D52" w14:textId="77777777" w:rsidR="00AD7EB3" w:rsidRDefault="00000000">
      <w:pPr>
        <w:pStyle w:val="ListParagraph"/>
        <w:numPr>
          <w:ilvl w:val="0"/>
          <w:numId w:val="2"/>
        </w:numPr>
        <w:spacing w:line="360" w:lineRule="auto"/>
      </w:pPr>
      <w:r>
        <w:rPr>
          <w:rFonts w:ascii="Arial" w:hAnsi="Arial"/>
          <w:sz w:val="24"/>
        </w:rPr>
        <w:t>Discuss timescales and any leave requirements, if the employee raises these.</w:t>
      </w:r>
    </w:p>
    <w:p w14:paraId="329A1B1A" w14:textId="77777777" w:rsidR="00AD7EB3" w:rsidRDefault="00000000">
      <w:pPr>
        <w:pStyle w:val="ListParagraph"/>
        <w:numPr>
          <w:ilvl w:val="0"/>
          <w:numId w:val="2"/>
        </w:numPr>
        <w:spacing w:line="360" w:lineRule="auto"/>
      </w:pPr>
      <w:r>
        <w:rPr>
          <w:rFonts w:ascii="Arial" w:hAnsi="Arial"/>
          <w:sz w:val="24"/>
        </w:rPr>
        <w:t>Remember that perimenopause and menopause symptoms do not follow a set timeline, and may not resolve by a certain date.</w:t>
      </w:r>
    </w:p>
    <w:p w14:paraId="5D0E83A5" w14:textId="77777777" w:rsidR="00AD7EB3" w:rsidRDefault="00000000">
      <w:pPr>
        <w:pStyle w:val="ListParagraph"/>
        <w:numPr>
          <w:ilvl w:val="0"/>
          <w:numId w:val="2"/>
        </w:numPr>
        <w:spacing w:line="360" w:lineRule="auto"/>
      </w:pPr>
      <w:r>
        <w:rPr>
          <w:rFonts w:ascii="Arial" w:hAnsi="Arial"/>
          <w:sz w:val="24"/>
        </w:rPr>
        <w:t>Balance the employee's needs with the needs of the business when you deal with requests for special or medical leave.</w:t>
      </w:r>
    </w:p>
    <w:p w14:paraId="10DD2A8F" w14:textId="77777777" w:rsidR="00AD7EB3" w:rsidRDefault="00000000">
      <w:pPr>
        <w:pStyle w:val="ListParagraph"/>
        <w:numPr>
          <w:ilvl w:val="0"/>
          <w:numId w:val="2"/>
        </w:numPr>
        <w:spacing w:line="360" w:lineRule="auto"/>
      </w:pPr>
      <w:r>
        <w:rPr>
          <w:rFonts w:ascii="Arial" w:hAnsi="Arial"/>
          <w:sz w:val="24"/>
        </w:rPr>
        <w:t>Support the employee in attending their medical appointments.</w:t>
      </w:r>
    </w:p>
    <w:p w14:paraId="0FB66CB8" w14:textId="77777777" w:rsidR="00AD7EB3" w:rsidRDefault="00000000">
      <w:pPr>
        <w:pStyle w:val="ListParagraph"/>
        <w:numPr>
          <w:ilvl w:val="0"/>
          <w:numId w:val="2"/>
        </w:numPr>
        <w:spacing w:line="360" w:lineRule="auto"/>
      </w:pPr>
      <w:r>
        <w:rPr>
          <w:rFonts w:ascii="Arial" w:hAnsi="Arial"/>
          <w:sz w:val="24"/>
        </w:rPr>
        <w:lastRenderedPageBreak/>
        <w:t>Explain what support is available to the employee, such as occupational health, the Employee Assistance Programme (if your organisation has one), and workplace adjustments.</w:t>
      </w:r>
    </w:p>
    <w:p w14:paraId="64758E3B" w14:textId="77777777" w:rsidR="00AD7EB3" w:rsidRDefault="00000000">
      <w:pPr>
        <w:pStyle w:val="Heading1"/>
        <w:spacing w:line="360" w:lineRule="auto"/>
      </w:pPr>
      <w:r>
        <w:t>Agreeing the process for further support</w:t>
      </w:r>
    </w:p>
    <w:p w14:paraId="0CDE60E7" w14:textId="77777777" w:rsidR="00AD7EB3" w:rsidRDefault="00000000">
      <w:pPr>
        <w:spacing w:line="360" w:lineRule="auto"/>
      </w:pPr>
      <w:r>
        <w:rPr>
          <w:rFonts w:ascii="Arial" w:hAnsi="Arial"/>
          <w:sz w:val="24"/>
        </w:rPr>
        <w:t>You may find it helpful to write a plan of adjustments that you and the employee agree together, to help them at work.</w:t>
      </w:r>
    </w:p>
    <w:p w14:paraId="4A382DDF" w14:textId="77777777" w:rsidR="00AD7EB3" w:rsidRDefault="00000000">
      <w:pPr>
        <w:pStyle w:val="Heading1"/>
        <w:spacing w:line="360" w:lineRule="auto"/>
      </w:pPr>
      <w:r>
        <w:t>Confidentiality and disclosure</w:t>
      </w:r>
    </w:p>
    <w:p w14:paraId="6844A770" w14:textId="77777777" w:rsidR="00AD7EB3" w:rsidRDefault="00000000">
      <w:pPr>
        <w:spacing w:line="360" w:lineRule="auto"/>
      </w:pPr>
      <w:r>
        <w:rPr>
          <w:rFonts w:ascii="Arial" w:hAnsi="Arial"/>
          <w:sz w:val="24"/>
        </w:rPr>
        <w:t>Every employee has the right to privacy about their medical status. You must only share information where necessary, for example if the employee tells you about a risk to life or suicidal thoughts. Even then, share it only with the employee's consent.</w:t>
      </w:r>
    </w:p>
    <w:p w14:paraId="2CD87551" w14:textId="77777777" w:rsidR="00AD7EB3" w:rsidRDefault="00000000">
      <w:pPr>
        <w:spacing w:line="360" w:lineRule="auto"/>
      </w:pPr>
      <w:r>
        <w:rPr>
          <w:rFonts w:ascii="Arial" w:hAnsi="Arial"/>
          <w:sz w:val="24"/>
        </w:rPr>
        <w:t>Sharing information without consent can be distressing for the employee. In some cases, it can also breach:</w:t>
      </w:r>
    </w:p>
    <w:p w14:paraId="0719610C" w14:textId="77777777" w:rsidR="00AD7EB3" w:rsidRDefault="00000000">
      <w:pPr>
        <w:pStyle w:val="ListParagraph"/>
        <w:numPr>
          <w:ilvl w:val="0"/>
          <w:numId w:val="2"/>
        </w:numPr>
        <w:spacing w:line="360" w:lineRule="auto"/>
      </w:pPr>
      <w:r>
        <w:rPr>
          <w:rFonts w:ascii="Arial" w:hAnsi="Arial"/>
          <w:sz w:val="24"/>
        </w:rPr>
        <w:t>the Data Protection Act 2018</w:t>
      </w:r>
    </w:p>
    <w:p w14:paraId="73ACBACF" w14:textId="77777777" w:rsidR="00AD7EB3" w:rsidRDefault="00000000">
      <w:pPr>
        <w:pStyle w:val="ListParagraph"/>
        <w:numPr>
          <w:ilvl w:val="0"/>
          <w:numId w:val="2"/>
        </w:numPr>
        <w:spacing w:line="360" w:lineRule="auto"/>
      </w:pPr>
      <w:r>
        <w:rPr>
          <w:rFonts w:ascii="Arial" w:hAnsi="Arial"/>
          <w:sz w:val="24"/>
        </w:rPr>
        <w:t>the Equality Act 2010</w:t>
      </w:r>
    </w:p>
    <w:p w14:paraId="448792E8" w14:textId="77777777" w:rsidR="00AD7EB3" w:rsidRDefault="00000000">
      <w:pPr>
        <w:pStyle w:val="ListParagraph"/>
        <w:numPr>
          <w:ilvl w:val="0"/>
          <w:numId w:val="2"/>
        </w:numPr>
        <w:spacing w:line="360" w:lineRule="auto"/>
      </w:pPr>
      <w:r>
        <w:rPr>
          <w:rFonts w:ascii="Arial" w:hAnsi="Arial"/>
          <w:sz w:val="24"/>
        </w:rPr>
        <w:t>GDPR (the General Data Protection Regulation)</w:t>
      </w:r>
    </w:p>
    <w:p w14:paraId="201BA3ED" w14:textId="77777777" w:rsidR="00AD7EB3" w:rsidRDefault="00000000">
      <w:pPr>
        <w:pStyle w:val="Heading1"/>
        <w:spacing w:line="360" w:lineRule="auto"/>
      </w:pPr>
      <w:r>
        <w:t>Wellbeing and mental health</w:t>
      </w:r>
    </w:p>
    <w:p w14:paraId="5F6C862D" w14:textId="77777777" w:rsidR="00AD7EB3" w:rsidRDefault="00000000">
      <w:pPr>
        <w:spacing w:line="360" w:lineRule="auto"/>
      </w:pPr>
      <w:r>
        <w:rPr>
          <w:rFonts w:ascii="Arial" w:hAnsi="Arial"/>
          <w:sz w:val="24"/>
        </w:rPr>
        <w:t>Menopause can affect physical and mental wellbeing for many different reasons. Examples include:</w:t>
      </w:r>
    </w:p>
    <w:p w14:paraId="61644656" w14:textId="77777777" w:rsidR="00AD7EB3" w:rsidRDefault="00000000">
      <w:pPr>
        <w:pStyle w:val="ListParagraph"/>
        <w:numPr>
          <w:ilvl w:val="0"/>
          <w:numId w:val="2"/>
        </w:numPr>
        <w:spacing w:line="360" w:lineRule="auto"/>
      </w:pPr>
      <w:r>
        <w:rPr>
          <w:rFonts w:ascii="Arial" w:hAnsi="Arial"/>
          <w:sz w:val="24"/>
        </w:rPr>
        <w:t>mood swings</w:t>
      </w:r>
    </w:p>
    <w:p w14:paraId="5EEB30D9" w14:textId="77777777" w:rsidR="00AD7EB3" w:rsidRDefault="00000000">
      <w:pPr>
        <w:pStyle w:val="ListParagraph"/>
        <w:numPr>
          <w:ilvl w:val="0"/>
          <w:numId w:val="2"/>
        </w:numPr>
        <w:spacing w:line="360" w:lineRule="auto"/>
      </w:pPr>
      <w:r>
        <w:rPr>
          <w:rFonts w:ascii="Arial" w:hAnsi="Arial"/>
          <w:sz w:val="24"/>
        </w:rPr>
        <w:t>difficulty concentrating or memory lapses</w:t>
      </w:r>
    </w:p>
    <w:p w14:paraId="7FBDEC57" w14:textId="77777777" w:rsidR="00AD7EB3" w:rsidRDefault="00000000">
      <w:pPr>
        <w:pStyle w:val="ListParagraph"/>
        <w:numPr>
          <w:ilvl w:val="0"/>
          <w:numId w:val="2"/>
        </w:numPr>
        <w:spacing w:line="360" w:lineRule="auto"/>
      </w:pPr>
      <w:r>
        <w:rPr>
          <w:rFonts w:ascii="Arial" w:hAnsi="Arial"/>
          <w:sz w:val="24"/>
        </w:rPr>
        <w:t>anxiety or depression</w:t>
      </w:r>
    </w:p>
    <w:p w14:paraId="3420BAF2" w14:textId="77777777" w:rsidR="00AD7EB3" w:rsidRDefault="00000000">
      <w:pPr>
        <w:pStyle w:val="ListParagraph"/>
        <w:numPr>
          <w:ilvl w:val="0"/>
          <w:numId w:val="2"/>
        </w:numPr>
        <w:spacing w:line="360" w:lineRule="auto"/>
      </w:pPr>
      <w:r>
        <w:rPr>
          <w:rFonts w:ascii="Arial" w:hAnsi="Arial"/>
          <w:sz w:val="24"/>
        </w:rPr>
        <w:lastRenderedPageBreak/>
        <w:t>pain and headaches</w:t>
      </w:r>
    </w:p>
    <w:p w14:paraId="66B09AC5" w14:textId="77777777" w:rsidR="00AD7EB3" w:rsidRDefault="00000000">
      <w:pPr>
        <w:pStyle w:val="ListParagraph"/>
        <w:numPr>
          <w:ilvl w:val="0"/>
          <w:numId w:val="2"/>
        </w:numPr>
        <w:spacing w:line="360" w:lineRule="auto"/>
      </w:pPr>
      <w:r>
        <w:rPr>
          <w:rFonts w:ascii="Arial" w:hAnsi="Arial"/>
          <w:sz w:val="24"/>
        </w:rPr>
        <w:t>sleep disorders or fatigue</w:t>
      </w:r>
    </w:p>
    <w:p w14:paraId="202E7500" w14:textId="77777777" w:rsidR="00AD7EB3" w:rsidRDefault="00000000">
      <w:pPr>
        <w:spacing w:line="360" w:lineRule="auto"/>
      </w:pPr>
      <w:r>
        <w:rPr>
          <w:rFonts w:ascii="Arial" w:hAnsi="Arial"/>
          <w:sz w:val="24"/>
        </w:rPr>
        <w:t>As with all employees, the organisation has a duty of care. Managers should watch for signs of mental health difficulties. General guidance, such as the Mental Health Guide for Managers, can give you more information.</w:t>
      </w:r>
    </w:p>
    <w:p w14:paraId="314B3706" w14:textId="77777777" w:rsidR="00AD7EB3" w:rsidRDefault="00000000">
      <w:pPr>
        <w:pStyle w:val="Heading1"/>
        <w:spacing w:line="360" w:lineRule="auto"/>
      </w:pPr>
      <w:r>
        <w:t>Workplace adjustments</w:t>
      </w:r>
    </w:p>
    <w:p w14:paraId="2D8AB999" w14:textId="77777777" w:rsidR="00AD7EB3" w:rsidRDefault="00000000">
      <w:pPr>
        <w:spacing w:line="360" w:lineRule="auto"/>
      </w:pPr>
      <w:r>
        <w:rPr>
          <w:rFonts w:ascii="Arial" w:hAnsi="Arial"/>
          <w:sz w:val="24"/>
        </w:rPr>
        <w:t>Workplace adjustments remove barriers or disadvantages for an employee. An adjustment can be a change to policy, working arrangements or the equipment provided for a job. During menopause, workplace adjustments can help you agree and record temporary or permanent changes.</w:t>
      </w:r>
    </w:p>
    <w:p w14:paraId="3DFEE2F2" w14:textId="77777777" w:rsidR="00AD7EB3" w:rsidRDefault="00000000">
      <w:pPr>
        <w:spacing w:line="360" w:lineRule="auto"/>
      </w:pPr>
      <w:r>
        <w:rPr>
          <w:rFonts w:ascii="Arial" w:hAnsi="Arial"/>
          <w:sz w:val="24"/>
        </w:rPr>
        <w:t>In some cases, medical evidence or occupational health advice can help you decide whether an adjustment would add value. Any referral to occupational health needs the employee's consent. The employee usually does not need to show evidence that they need an adjustment.</w:t>
      </w:r>
    </w:p>
    <w:p w14:paraId="765538E0" w14:textId="77777777" w:rsidR="00AD7EB3" w:rsidRDefault="00000000">
      <w:pPr>
        <w:spacing w:line="360" w:lineRule="auto"/>
      </w:pPr>
      <w:r>
        <w:rPr>
          <w:rFonts w:ascii="Arial" w:hAnsi="Arial"/>
          <w:sz w:val="24"/>
        </w:rPr>
        <w:t>You must record and discuss workplace adjustments with the employee. Some background on the barriers at work, and their impact, can be useful. However, the focus of any agreed adjustments should be on the support needed, not the reason for it.</w:t>
      </w:r>
    </w:p>
    <w:p w14:paraId="3E73D6D8" w14:textId="77777777" w:rsidR="00AD7EB3" w:rsidRDefault="00000000">
      <w:pPr>
        <w:spacing w:line="360" w:lineRule="auto"/>
      </w:pPr>
      <w:r>
        <w:rPr>
          <w:rFonts w:ascii="Arial" w:hAnsi="Arial"/>
          <w:sz w:val="24"/>
        </w:rPr>
        <w:t>You must always store workplace adjustment or action plans securely, and the employee should do the same. The employee may decide to keep a paper copy in a sealed envelope, rather than an electronic copy.</w:t>
      </w:r>
    </w:p>
    <w:sectPr w:rsidR="00AD7EB3"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074BE" w14:textId="77777777" w:rsidR="00643607" w:rsidRDefault="00643607" w:rsidP="002C1D48">
      <w:pPr>
        <w:spacing w:after="0" w:line="240" w:lineRule="auto"/>
      </w:pPr>
      <w:r>
        <w:separator/>
      </w:r>
    </w:p>
  </w:endnote>
  <w:endnote w:type="continuationSeparator" w:id="0">
    <w:p w14:paraId="23F28AC9" w14:textId="77777777" w:rsidR="00643607" w:rsidRDefault="00643607"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20919"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1973DF59" w14:textId="77777777"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0D4C15F4" w14:textId="77777777"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3AF2E318" w14:textId="77777777" w:rsidR="00BC64B8" w:rsidRDefault="00BC64B8" w:rsidP="00BC64B8">
    <w:pPr>
      <w:pStyle w:val="Footer"/>
      <w:jc w:val="center"/>
      <w:rPr>
        <w:b/>
        <w:bCs/>
        <w:noProof/>
        <w:color w:val="A6A6A6" w:themeColor="background1" w:themeShade="A6"/>
        <w:sz w:val="18"/>
        <w:szCs w:val="18"/>
      </w:rPr>
    </w:pPr>
  </w:p>
  <w:p w14:paraId="12FEE511" w14:textId="77777777"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57A66C61" w14:textId="77777777"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252BE" w14:textId="77777777" w:rsidR="00643607" w:rsidRDefault="00643607" w:rsidP="002C1D48">
      <w:pPr>
        <w:spacing w:after="0" w:line="240" w:lineRule="auto"/>
      </w:pPr>
      <w:r>
        <w:separator/>
      </w:r>
    </w:p>
  </w:footnote>
  <w:footnote w:type="continuationSeparator" w:id="0">
    <w:p w14:paraId="41E7B139" w14:textId="77777777" w:rsidR="00643607" w:rsidRDefault="00643607"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85D6" w14:textId="77777777" w:rsidR="000E68A4" w:rsidRDefault="00BC64B8">
    <w:r>
      <w:rPr>
        <w:noProof/>
      </w:rPr>
      <w:drawing>
        <wp:anchor distT="0" distB="0" distL="0" distR="0" simplePos="0" relativeHeight="251658240" behindDoc="1" locked="1" layoutInCell="1" allowOverlap="1" wp14:anchorId="06170B4F" wp14:editId="3D19840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1"/>
                  <a:stretch>
                    <a:fillRect/>
                  </a:stretch>
                </pic:blipFill>
                <pic:spPr>
                  <a:xfrm>
                    <a:off x="0" y="0"/>
                    <a:ext cx="7560310" cy="10692130"/>
                  </a:xfrm>
                  <a:prstGeom prst="rect">
                    <a:avLst/>
                  </a:prstGeom>
                </pic:spPr>
              </pic:pic>
            </a:graphicData>
          </a:graphic>
        </wp:anchor>
      </w:drawing>
    </w: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435D737D" w14:textId="77777777"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" fillcolor="#fbf3e3" stroked="f">
              <v:textbox>
                <w:txbxContent>
                  <w:p w14:paraId="435D737D" w14:textId="77777777"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0B6445E0" w14:textId="77777777" w:rsidR="000E68A4" w:rsidRDefault="000E68A4">
    <w:pPr>
      <w:pStyle w:val="Header"/>
      <w:rPr>
        <w:noProof/>
      </w:rPr>
    </w:pPr>
  </w:p>
  <w:p w14:paraId="20D961C4" w14:textId="77777777" w:rsidR="000E68A4" w:rsidRDefault="000E68A4">
    <w:pPr>
      <w:pStyle w:val="Header"/>
    </w:pPr>
  </w:p>
  <w:p w14:paraId="4E88694E"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420FB"/>
    <w:rsid w:val="000746F3"/>
    <w:rsid w:val="000912FA"/>
    <w:rsid w:val="000D535D"/>
    <w:rsid w:val="000E68A4"/>
    <w:rsid w:val="000F580E"/>
    <w:rsid w:val="00104E0C"/>
    <w:rsid w:val="0010745D"/>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43607"/>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AD7EB3"/>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6954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Cs w:val="20"/>
    </w:rPr>
  </w:style>
  <w:style w:type="paragraph" w:customStyle="1" w:styleId="FrontInformation">
    <w:name w:val="FrontInformation"/>
    <w:autoRedefine/>
    <w:rsid w:val="0089153B"/>
    <w:pPr>
      <w:spacing w:after="240"/>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1350</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4</cp:revision>
  <dcterms:created xsi:type="dcterms:W3CDTF">2024-07-09T06:38:00Z</dcterms:created>
  <dcterms:modified xsi:type="dcterms:W3CDTF">2026-08-25T11:10:00Z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