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6BFCA2B2" w14:textId="77777777" w:rsidR="00AD32E3" w:rsidRPr="00BE4307" w:rsidRDefault="00AD32E3" w:rsidP="00627499">
      <w:pPr>
        <w:shd w:val="clear" w:color="auto" w:fill="4BC7E3"/>
        <w:rPr>
          <w:rFonts w:ascii="Avenir Next LT Pro" w:hAnsi="Avenir Next LT Pro" w:cstheme="minorHAnsi"/>
          <w:b/>
          <w:color w:val="FFFFFF" w:themeColor="background1"/>
          <w:sz w:val="24"/>
          <w:szCs w:val="24"/>
        </w:rPr>
      </w:pPr>
      <w:r>
        <w:rPr>
          <w:b/>
          <w:color w:val="FFFFFF"/>
          <w:sz w:val="32"/>
        </w:rPr>
        <w:t>Menopause symptoms and action plan template</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Before you start:</w:t>
      </w:r>
      <w:r>
        <w:rPr>
          <w:rFonts w:ascii="Arial" w:hAnsi="Arial"/>
          <w:sz w:val="24"/>
        </w:rPr>
        <w:t xml:space="preserve"> Set aside about 20 minutes for this conversation, somewhere private. Ask the employee in advance so they can think about their symptoms first.</w:t>
      </w:r>
    </w:p>
    <w:p>
      <w:pPr>
        <w:spacing w:line="360" w:lineRule="auto"/>
        <w:jc w:val="left"/>
      </w:pPr>
      <w:r>
        <w:rPr>
          <w:rFonts w:ascii="Arial" w:hAnsi="Arial"/>
          <w:sz w:val="24"/>
        </w:rPr>
        <w:t>This template helps you and the employee identify menopause symptoms that affect their role, and agree adjustments that may help. Use it together in a private, supportive conversation, led by what the employee tells you.</w:t>
      </w:r>
    </w:p>
    <w:p>
      <w:pPr>
        <w:spacing w:line="360" w:lineRule="auto"/>
        <w:jc w:val="left"/>
      </w:pPr>
      <w:r>
        <w:rPr>
          <w:rFonts w:ascii="Arial" w:hAnsi="Arial"/>
          <w:b/>
          <w:sz w:val="24"/>
        </w:rPr>
        <w:t>How to use this template:</w:t>
      </w:r>
      <w:r>
        <w:rPr>
          <w:rFonts w:ascii="Arial" w:hAnsi="Arial"/>
          <w:sz w:val="24"/>
        </w:rPr>
        <w:t xml:space="preserve"> For each symptom the employee experiences, mark its severity and how often it happens. Then agree any adjustments that may help. The examples in the last column are a starting point, not a full list.</w:t>
      </w:r>
    </w:p>
    <w:p>
      <w:pPr>
        <w:spacing w:line="360" w:lineRule="auto"/>
      </w:pPr>
      <w:r>
        <w:rPr>
          <w:rFonts w:ascii="Arial" w:hAnsi="Arial"/>
          <w:b/>
          <w:sz w:val="24"/>
        </w:rPr>
        <w:t xml:space="preserve">Employee name: </w:t>
      </w:r>
    </w:p>
    <w:p>
      <w:pPr>
        <w:spacing w:line="360" w:lineRule="auto"/>
      </w:pPr>
      <w:r>
        <w:rPr>
          <w:rFonts w:ascii="Arial" w:hAnsi="Arial"/>
          <w:b/>
          <w:sz w:val="24"/>
        </w:rPr>
        <w:t xml:space="preserve">Line manager: </w:t>
      </w:r>
    </w:p>
    <w:p>
      <w:pPr>
        <w:spacing w:line="360" w:lineRule="auto"/>
      </w:pPr>
      <w:r>
        <w:rPr>
          <w:rFonts w:ascii="Arial" w:hAnsi="Arial"/>
          <w:b/>
          <w:sz w:val="24"/>
        </w:rPr>
        <w:t xml:space="preserve">Date completed: </w:t>
      </w:r>
    </w:p>
    <w:p>
      <w:pPr>
        <w:spacing w:line="360" w:lineRule="auto"/>
      </w:pPr>
      <w:r>
        <w:rPr>
          <w:rFonts w:ascii="Arial" w:hAnsi="Arial"/>
          <w:b/>
          <w:sz w:val="24"/>
        </w:rPr>
        <w:t xml:space="preserve">Review date: </w:t>
      </w:r>
    </w:p>
    <w:p>
      <w:pPr>
        <w:spacing w:line="360" w:lineRule="auto"/>
        <w:jc w:val="left"/>
      </w:pPr>
      <w:r>
        <w:rPr>
          <w:rFonts w:ascii="Arial" w:hAnsi="Arial"/>
          <w:sz w:val="24"/>
        </w:rPr>
        <w:t>The severity columns are mild, moderate and severe. The frequency columns are daily, weekly, monthly and constant. Tick the boxes that apply for each symptom.</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ayout w:type="fixed"/>
        <w:tblLook w:firstColumn="1" w:firstRow="1" w:lastColumn="0" w:lastRow="0" w:noHBand="0" w:noVBand="1" w:val="04A0"/>
      </w:tblPr>
      <w:tblGrid>
        <w:gridCol w:w="1191"/>
        <w:gridCol w:w="595"/>
        <w:gridCol w:w="964"/>
        <w:gridCol w:w="822"/>
        <w:gridCol w:w="624"/>
        <w:gridCol w:w="822"/>
        <w:gridCol w:w="850"/>
        <w:gridCol w:w="964"/>
        <w:gridCol w:w="2126"/>
      </w:tblGrid>
      <w:tr>
        <w:trPr>
          <w:tblHeader w:val="true"/>
          <w:cantSplit/>
        </w:trPr>
        <w:tc>
          <w:tcPr>
            <w:tcW w:type="dxa" w:w="1191"/>
            <w:shd w:val="clear" w:color="auto" w:fill="209EBB"/>
          </w:tcPr>
          <w:p>
            <w:pPr>
              <w:spacing w:after="40" w:line="240" w:lineRule="auto"/>
            </w:pPr>
            <w:r/>
            <w:r>
              <w:rPr>
                <w:b/>
                <w:color w:val="FFFFFF"/>
                <w:sz w:val="20"/>
              </w:rPr>
              <w:t>Symptom</w:t>
            </w:r>
          </w:p>
        </w:tc>
        <w:tc>
          <w:tcPr>
            <w:tcW w:type="dxa" w:w="595"/>
            <w:shd w:val="clear" w:color="auto" w:fill="209EBB"/>
          </w:tcPr>
          <w:p>
            <w:pPr>
              <w:spacing w:after="40" w:line="240" w:lineRule="auto"/>
            </w:pPr>
            <w:r>
              <w:rPr>
                <w:sz w:val="16"/>
              </w:rPr>
            </w:r>
            <w:r>
              <w:rPr>
                <w:b/>
                <w:color w:val="FFFFFF"/>
                <w:sz w:val="16"/>
              </w:rPr>
              <w:t>Mild</w:t>
            </w:r>
          </w:p>
        </w:tc>
        <w:tc>
          <w:tcPr>
            <w:tcW w:type="dxa" w:w="964"/>
            <w:shd w:val="clear" w:color="auto" w:fill="209EBB"/>
          </w:tcPr>
          <w:p>
            <w:pPr>
              <w:spacing w:after="40" w:line="240" w:lineRule="auto"/>
            </w:pPr>
            <w:r>
              <w:rPr>
                <w:sz w:val="16"/>
              </w:rPr>
            </w:r>
            <w:r>
              <w:rPr>
                <w:b/>
                <w:color w:val="FFFFFF"/>
                <w:sz w:val="16"/>
              </w:rPr>
              <w:t>Moderate</w:t>
            </w:r>
          </w:p>
        </w:tc>
        <w:tc>
          <w:tcPr>
            <w:tcW w:type="dxa" w:w="822"/>
            <w:shd w:val="clear" w:color="auto" w:fill="209EBB"/>
          </w:tcPr>
          <w:p>
            <w:pPr>
              <w:spacing w:after="40" w:line="240" w:lineRule="auto"/>
            </w:pPr>
            <w:r>
              <w:rPr>
                <w:sz w:val="16"/>
              </w:rPr>
            </w:r>
            <w:r>
              <w:rPr>
                <w:b/>
                <w:color w:val="FFFFFF"/>
                <w:sz w:val="16"/>
              </w:rPr>
              <w:t>Severe</w:t>
            </w:r>
          </w:p>
        </w:tc>
        <w:tc>
          <w:tcPr>
            <w:tcW w:type="dxa" w:w="624"/>
            <w:shd w:val="clear" w:color="auto" w:fill="209EBB"/>
          </w:tcPr>
          <w:p>
            <w:pPr>
              <w:spacing w:after="40" w:line="240" w:lineRule="auto"/>
            </w:pPr>
            <w:r>
              <w:rPr>
                <w:sz w:val="16"/>
              </w:rPr>
            </w:r>
            <w:r>
              <w:rPr>
                <w:b/>
                <w:color w:val="FFFFFF"/>
                <w:sz w:val="16"/>
              </w:rPr>
              <w:t>Daily</w:t>
            </w:r>
          </w:p>
        </w:tc>
        <w:tc>
          <w:tcPr>
            <w:tcW w:type="dxa" w:w="822"/>
            <w:shd w:val="clear" w:color="auto" w:fill="209EBB"/>
          </w:tcPr>
          <w:p>
            <w:pPr>
              <w:spacing w:after="40" w:line="240" w:lineRule="auto"/>
            </w:pPr>
            <w:r>
              <w:rPr>
                <w:sz w:val="16"/>
              </w:rPr>
            </w:r>
            <w:r>
              <w:rPr>
                <w:b/>
                <w:color w:val="FFFFFF"/>
                <w:sz w:val="16"/>
              </w:rPr>
              <w:t>Weekly</w:t>
            </w:r>
          </w:p>
        </w:tc>
        <w:tc>
          <w:tcPr>
            <w:tcW w:type="dxa" w:w="850"/>
            <w:shd w:val="clear" w:color="auto" w:fill="209EBB"/>
          </w:tcPr>
          <w:p>
            <w:pPr>
              <w:spacing w:after="40" w:line="240" w:lineRule="auto"/>
            </w:pPr>
            <w:r>
              <w:rPr>
                <w:sz w:val="16"/>
              </w:rPr>
            </w:r>
            <w:r>
              <w:rPr>
                <w:b/>
                <w:color w:val="FFFFFF"/>
                <w:sz w:val="16"/>
              </w:rPr>
              <w:t>Monthly</w:t>
            </w:r>
          </w:p>
        </w:tc>
        <w:tc>
          <w:tcPr>
            <w:tcW w:type="dxa" w:w="964"/>
            <w:shd w:val="clear" w:color="auto" w:fill="209EBB"/>
          </w:tcPr>
          <w:p>
            <w:pPr>
              <w:spacing w:after="40" w:line="240" w:lineRule="auto"/>
            </w:pPr>
            <w:r>
              <w:rPr>
                <w:sz w:val="16"/>
              </w:rPr>
            </w:r>
            <w:r>
              <w:rPr>
                <w:b/>
                <w:color w:val="FFFFFF"/>
                <w:sz w:val="16"/>
              </w:rPr>
              <w:t>Constant</w:t>
            </w:r>
          </w:p>
        </w:tc>
        <w:tc>
          <w:tcPr>
            <w:tcW w:type="dxa" w:w="2126"/>
            <w:shd w:val="clear" w:color="auto" w:fill="209EBB"/>
          </w:tcPr>
          <w:p>
            <w:pPr>
              <w:spacing w:after="40" w:line="240" w:lineRule="auto"/>
            </w:pPr>
            <w:r/>
            <w:r>
              <w:rPr>
                <w:b/>
                <w:color w:val="FFFFFF"/>
                <w:sz w:val="20"/>
              </w:rPr>
              <w:t>Adjustments that may help</w:t>
            </w:r>
          </w:p>
        </w:tc>
      </w:tr>
      <w:tr>
        <w:trPr>
          <w:cantSplit/>
        </w:trPr>
        <w:tc>
          <w:tcPr>
            <w:tcW w:type="dxa" w:w="1191"/>
          </w:tcPr>
          <w:p>
            <w:pPr>
              <w:spacing w:after="40" w:line="240" w:lineRule="auto"/>
            </w:pPr>
            <w:r>
              <w:rPr>
                <w:sz w:val="20"/>
              </w:rPr>
              <w:t>Hot flushes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t>A fan, a seat near a window, access to showers</w:t>
            </w:r>
          </w:p>
        </w:tc>
      </w:tr>
      <w:tr>
        <w:trPr>
          <w:cantSplit/>
        </w:trPr>
        <w:tc>
          <w:tcPr>
            <w:tcW w:type="dxa" w:w="1191"/>
          </w:tcPr>
          <w:p>
            <w:pPr>
              <w:spacing w:after="40" w:line="240" w:lineRule="auto"/>
            </w:pPr>
            <w:r>
              <w:rPr>
                <w:sz w:val="20"/>
              </w:rPr>
              <w:t>Changes in body temperature</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Night sweats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t>Flexible shift start times</w:t>
            </w:r>
          </w:p>
        </w:tc>
      </w:tr>
      <w:tr>
        <w:trPr>
          <w:cantSplit/>
        </w:trPr>
        <w:tc>
          <w:tcPr>
            <w:tcW w:type="dxa" w:w="1191"/>
          </w:tcPr>
          <w:p>
            <w:pPr>
              <w:spacing w:after="40" w:line="240" w:lineRule="auto"/>
            </w:pPr>
            <w:r>
              <w:rPr>
                <w:sz w:val="20"/>
              </w:rPr>
              <w:t>Brain fog</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Irregular periods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t>Flexibility with breaks, arranged discreetly</w:t>
            </w:r>
          </w:p>
        </w:tc>
      </w:tr>
      <w:tr>
        <w:trPr>
          <w:cantSplit/>
        </w:trPr>
        <w:tc>
          <w:tcPr>
            <w:tcW w:type="dxa" w:w="1191"/>
          </w:tcPr>
          <w:p>
            <w:pPr>
              <w:spacing w:after="40" w:line="240" w:lineRule="auto"/>
            </w:pPr>
            <w:r>
              <w:rPr>
                <w:sz w:val="20"/>
              </w:rPr>
              <w:t>Mood swings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t>Telling the team so they can be mindful; access to a quiet room</w:t>
            </w:r>
          </w:p>
        </w:tc>
      </w:tr>
      <w:tr>
        <w:trPr>
          <w:cantSplit/>
        </w:trPr>
        <w:tc>
          <w:tcPr>
            <w:tcW w:type="dxa" w:w="1191"/>
          </w:tcPr>
          <w:p>
            <w:pPr>
              <w:spacing w:after="40" w:line="240" w:lineRule="auto"/>
            </w:pPr>
            <w:r>
              <w:rPr>
                <w:sz w:val="20"/>
              </w:rPr>
              <w:t>Fatigue</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t>Flexible shift start times</w:t>
            </w:r>
          </w:p>
        </w:tc>
      </w:tr>
      <w:tr>
        <w:trPr>
          <w:cantSplit/>
        </w:trPr>
        <w:tc>
          <w:tcPr>
            <w:tcW w:type="dxa" w:w="1191"/>
          </w:tcPr>
          <w:p>
            <w:pPr>
              <w:spacing w:after="40" w:line="240" w:lineRule="auto"/>
            </w:pPr>
            <w:r>
              <w:rPr>
                <w:sz w:val="20"/>
              </w:rPr>
              <w:t>Hair loss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Sleep problems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Difficulty concentrating</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Memory lapses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Dizziness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Weight gain</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Bloating</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Changes in body odour</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Irregular heartbeat</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Depression</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Anxiety</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Irritability</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Panic disorders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Muscle tension</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Digestive problems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Bad breath and gum problems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Itchy skin</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Headaches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r>
        <w:trPr>
          <w:cantSplit/>
        </w:trPr>
        <w:tc>
          <w:tcPr>
            <w:tcW w:type="dxa" w:w="1191"/>
          </w:tcPr>
          <w:p>
            <w:pPr>
              <w:spacing w:after="40" w:line="240" w:lineRule="auto"/>
            </w:pPr>
            <w:r>
              <w:rPr>
                <w:sz w:val="20"/>
              </w:rPr>
              <w:t>Osteoporosis</w:t>
            </w:r>
          </w:p>
        </w:tc>
        <w:tc>
          <w:tcPr>
            <w:tcW w:type="dxa" w:w="595"/>
          </w:tcPr>
          <w:p>
            <w:pPr>
              <w:spacing w:after="40" w:line="240" w:lineRule="auto"/>
            </w:pPr>
            <w:r>
              <w:rPr>
                <w:sz w:val="20"/>
              </w:rPr>
            </w:r>
          </w:p>
        </w:tc>
        <w:tc>
          <w:tcPr>
            <w:tcW w:type="dxa" w:w="964"/>
          </w:tcPr>
          <w:p>
            <w:pPr>
              <w:spacing w:after="40" w:line="240" w:lineRule="auto"/>
            </w:pPr>
            <w:r>
              <w:rPr>
                <w:sz w:val="20"/>
              </w:rPr>
            </w:r>
          </w:p>
        </w:tc>
        <w:tc>
          <w:tcPr>
            <w:tcW w:type="dxa" w:w="822"/>
          </w:tcPr>
          <w:p>
            <w:pPr>
              <w:spacing w:after="40" w:line="240" w:lineRule="auto"/>
            </w:pPr>
            <w:r>
              <w:rPr>
                <w:sz w:val="20"/>
              </w:rPr>
            </w:r>
          </w:p>
        </w:tc>
        <w:tc>
          <w:tcPr>
            <w:tcW w:type="dxa" w:w="624"/>
          </w:tcPr>
          <w:p>
            <w:pPr>
              <w:spacing w:after="40" w:line="240" w:lineRule="auto"/>
            </w:pPr>
            <w:r>
              <w:rPr>
                <w:sz w:val="20"/>
              </w:rPr>
            </w:r>
          </w:p>
        </w:tc>
        <w:tc>
          <w:tcPr>
            <w:tcW w:type="dxa" w:w="822"/>
          </w:tcPr>
          <w:p>
            <w:pPr>
              <w:spacing w:after="40" w:line="240" w:lineRule="auto"/>
            </w:pPr>
            <w:r>
              <w:rPr>
                <w:sz w:val="20"/>
              </w:rPr>
            </w:r>
          </w:p>
        </w:tc>
        <w:tc>
          <w:tcPr>
            <w:tcW w:type="dxa" w:w="850"/>
          </w:tcPr>
          <w:p>
            <w:pPr>
              <w:spacing w:after="40" w:line="240" w:lineRule="auto"/>
            </w:pPr>
            <w:r>
              <w:rPr>
                <w:sz w:val="20"/>
              </w:rPr>
            </w:r>
          </w:p>
        </w:tc>
        <w:tc>
          <w:tcPr>
            <w:tcW w:type="dxa" w:w="964"/>
          </w:tcPr>
          <w:p>
            <w:pPr>
              <w:spacing w:after="40" w:line="240" w:lineRule="auto"/>
            </w:pPr>
            <w:r>
              <w:rPr>
                <w:sz w:val="20"/>
              </w:rPr>
            </w:r>
          </w:p>
        </w:tc>
        <w:tc>
          <w:tcPr>
            <w:tcW w:type="dxa" w:w="2126"/>
          </w:tcPr>
          <w:p>
            <w:pPr>
              <w:spacing w:after="40" w:line="240" w:lineRule="auto"/>
            </w:pPr>
            <w:r>
              <w:rPr>
                <w:sz w:val="20"/>
              </w:rPr>
            </w:r>
          </w:p>
        </w:tc>
      </w:tr>
    </w:tbl>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Important:</w:t>
      </w:r>
      <w:r>
        <w:rPr>
          <w:rFonts w:ascii="Arial" w:hAnsi="Arial"/>
          <w:sz w:val="24"/>
        </w:rPr>
        <w:t xml:space="preserve"> Agree a review date so you can check whether the adjustments are still working, and update this plan if the employee's symptoms change.</w:t>
      </w:r>
    </w:p>
    <w:sectPr w:rsidR="004E0FEB" w:rsidRPr="004E0FEB" w:rsidSect="00C56C34">
      <w:headerReference w:type="default" r:id="rId7"/>
      <w:footerReference w:type="default" r:id="rId8"/>
      <w:pgSz w:w="16838" w:h="11906" w:orient="landscape"/>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39E1" w14:textId="77777777" w:rsidR="00DB60AD" w:rsidRDefault="00DB60AD" w:rsidP="002C1D48">
      <w:pPr>
        <w:spacing w:after="0" w:line="240" w:lineRule="auto"/>
      </w:pPr>
      <w:r>
        <w:separator/>
      </w:r>
    </w:p>
  </w:endnote>
  <w:endnote w:type="continuationSeparator" w:id="0">
    <w:p w14:paraId="03845CE3" w14:textId="77777777" w:rsidR="00DB60AD" w:rsidRDefault="00DB60AD"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C049" w14:textId="77777777" w:rsidR="00FD68D4" w:rsidRPr="00BE4307" w:rsidRDefault="00FD68D4" w:rsidP="00FD68D4">
    <w:pPr>
      <w:contextualSpacing/>
      <w:jc w:val="both"/>
      <w:rPr>
        <w:rFonts w:ascii="Avenir Next LT Pro" w:hAnsi="Avenir Next LT Pro"/>
        <w:color w:val="7F7F7F" w:themeColor="text1" w:themeTint="80"/>
        <w:sz w:val="16"/>
        <w:szCs w:val="16"/>
      </w:rPr>
    </w:pPr>
    <w:r w:rsidRPr="00BE4307">
      <w:rPr>
        <w:rFonts w:ascii="Avenir Next LT Pro" w:hAnsi="Avenir Next LT Pro"/>
        <w:color w:val="7F7F7F" w:themeColor="text1" w:themeTint="80"/>
        <w:sz w:val="16"/>
        <w:szCs w:val="16"/>
      </w:rPr>
      <w:t xml:space="preserve">For advice from an HR professional at Breathing Space HR, call 0113 426 7735 or email us at </w:t>
    </w:r>
    <w:r w:rsidRPr="00BE4307">
      <w:rPr>
        <w:rFonts w:ascii="Avenir Next LT Pro" w:hAnsi="Avenir Next LT Pro"/>
        <w:color w:val="0000FF"/>
        <w:sz w:val="16"/>
        <w:szCs w:val="16"/>
      </w:rPr>
      <w:t>howtohr@breathingspacehr.co.uk</w:t>
    </w:r>
  </w:p>
  <w:p w14:paraId="1B747382" w14:textId="77777777" w:rsidR="00FD68D4" w:rsidRPr="00BE4307" w:rsidRDefault="00FD68D4" w:rsidP="00FD68D4">
    <w:pPr>
      <w:jc w:val="both"/>
      <w:rPr>
        <w:rFonts w:ascii="Avenir Next LT Pro" w:hAnsi="Avenir Next LT Pro"/>
        <w:color w:val="7F7F7F" w:themeColor="text1" w:themeTint="80"/>
        <w:sz w:val="16"/>
        <w:szCs w:val="16"/>
      </w:rPr>
    </w:pPr>
    <w:r w:rsidRPr="00BE4307">
      <w:rPr>
        <w:rFonts w:ascii="Avenir Next LT Pro" w:hAnsi="Avenir Next LT Pro"/>
        <w:b/>
        <w:bCs/>
        <w:color w:val="7F7F7F" w:themeColor="text1" w:themeTint="80"/>
        <w:sz w:val="18"/>
        <w:szCs w:val="18"/>
      </w:rPr>
      <w:t>DISCLAIMER</w:t>
    </w:r>
    <w:r w:rsidRPr="00BE4307">
      <w:rPr>
        <w:rFonts w:ascii="Avenir Next LT Pro" w:hAnsi="Avenir Next LT Pro"/>
        <w:color w:val="7F7F7F" w:themeColor="text1" w:themeTint="80"/>
        <w:sz w:val="16"/>
        <w:szCs w:val="16"/>
      </w:rPr>
      <w:t>: Breathing Space HR offers advice and these documents to UK organisations as a free service and cannot be responsible or liable to any person or entity in respect of any cost, loss or damage caused, consequential or otherwise, directly or indirectly by the information contained in any advice, policies or procedures or their component parts, this includes any mistakes therein on this website.</w:t>
    </w:r>
  </w:p>
  <w:p w14:paraId="1427DE57" w14:textId="2996DE02" w:rsidR="001B673F" w:rsidRPr="00627499" w:rsidRDefault="00FD68D4" w:rsidP="001B673F">
    <w:pPr>
      <w:pStyle w:val="Footer"/>
      <w:jc w:val="center"/>
      <w:rPr>
        <w:b/>
        <w:bCs/>
        <w:noProof/>
        <w:color w:val="209EBB"/>
        <w:sz w:val="18"/>
        <w:szCs w:val="18"/>
        <w:u w:val="single"/>
      </w:rPr>
    </w:pPr>
    <w:r>
      <w:rPr>
        <w:b/>
        <w:bCs/>
        <w:noProof/>
        <w:color w:val="209EBB"/>
        <w:sz w:val="18"/>
        <w:szCs w:val="18"/>
        <w:u w:val="single"/>
      </w:rPr>
      <w:t>________________________________________________________</w:t>
    </w:r>
    <w:r w:rsidR="001B673F" w:rsidRPr="00627499">
      <w:rPr>
        <w:b/>
        <w:bCs/>
        <w:noProof/>
        <w:color w:val="209EBB"/>
        <w:sz w:val="18"/>
        <w:szCs w:val="18"/>
        <w:u w:val="single"/>
      </w:rPr>
      <w:t>____________________________________________________________________________________________________</w:t>
    </w:r>
  </w:p>
  <w:p w14:paraId="07FBD214" w14:textId="77777777" w:rsidR="001B673F" w:rsidRDefault="001B673F" w:rsidP="001B673F">
    <w:pPr>
      <w:pStyle w:val="Footer"/>
      <w:jc w:val="center"/>
      <w:rPr>
        <w:b/>
        <w:bCs/>
        <w:noProof/>
        <w:color w:val="A6A6A6" w:themeColor="background1" w:themeShade="A6"/>
        <w:sz w:val="18"/>
        <w:szCs w:val="18"/>
      </w:rPr>
    </w:pPr>
  </w:p>
  <w:p w14:paraId="243F8AE4" w14:textId="6B7E0B62" w:rsidR="002C1D48" w:rsidRPr="00BE4307" w:rsidRDefault="00536A7E" w:rsidP="001B673F">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52113EB0" w14:textId="4C057EB8" w:rsidR="001B673F" w:rsidRPr="00BE4307" w:rsidRDefault="00AD32E3" w:rsidP="00AD32E3">
    <w:pPr>
      <w:pStyle w:val="Footer"/>
      <w:jc w:val="center"/>
      <w:rPr>
        <w:rFonts w:ascii="Avenir Next LT Pro" w:hAnsi="Avenir Next LT Pro"/>
        <w:b/>
        <w:bCs/>
        <w:color w:val="093046"/>
        <w:sz w:val="14"/>
        <w:szCs w:val="14"/>
      </w:rPr>
    </w:pPr>
    <w:r w:rsidRPr="00BE4307">
      <w:rPr>
        <w:rFonts w:ascii="Avenir Next LT Pro" w:hAnsi="Avenir Next LT Pro"/>
        <w:b/>
        <w:bCs/>
        <w:noProof/>
        <w:color w:val="093046"/>
        <w:sz w:val="14"/>
        <w:szCs w:val="14"/>
      </w:rPr>
      <w:t xml:space="preserve">                                                                                                                     </w:t>
    </w:r>
    <w:r w:rsidR="00627499" w:rsidRPr="00BE4307">
      <w:rPr>
        <w:rFonts w:ascii="Avenir Next LT Pro" w:hAnsi="Avenir Next LT Pro"/>
        <w:b/>
        <w:bCs/>
        <w:noProof/>
        <w:color w:val="093046"/>
        <w:sz w:val="14"/>
        <w:szCs w:val="14"/>
      </w:rPr>
      <w:t xml:space="preserve">        </w:t>
    </w:r>
    <w:r w:rsidRPr="00BE4307">
      <w:rPr>
        <w:rFonts w:ascii="Avenir Next LT Pro" w:hAnsi="Avenir Next LT Pro"/>
        <w:b/>
        <w:bCs/>
        <w:noProof/>
        <w:color w:val="093046"/>
        <w:sz w:val="14"/>
        <w:szCs w:val="14"/>
      </w:rPr>
      <w:t xml:space="preserve">      </w:t>
    </w:r>
    <w:r w:rsidR="001B673F" w:rsidRPr="00BE4307">
      <w:rPr>
        <w:rFonts w:ascii="Avenir Next LT Pro" w:hAnsi="Avenir Next LT Pro"/>
        <w:b/>
        <w:bCs/>
        <w:noProof/>
        <w:color w:val="093046"/>
        <w:sz w:val="14"/>
        <w:szCs w:val="14"/>
      </w:rPr>
      <w:t xml:space="preserve">Company Registration Number </w:t>
    </w:r>
    <w:r w:rsidRPr="00BE4307">
      <w:rPr>
        <w:rFonts w:ascii="Avenir Next LT Pro" w:hAnsi="Avenir Next LT Pro"/>
        <w:b/>
        <w:bCs/>
        <w:noProof/>
        <w:color w:val="093046"/>
        <w:sz w:val="14"/>
        <w:szCs w:val="14"/>
      </w:rPr>
      <w:t>5872679</w:t>
    </w:r>
    <w:r w:rsidRPr="00BE4307">
      <w:rPr>
        <w:rFonts w:ascii="Avenir Next LT Pro" w:hAnsi="Avenir Next LT Pro"/>
        <w:b/>
        <w:bCs/>
        <w:color w:val="093046"/>
        <w:sz w:val="14"/>
        <w:szCs w:val="14"/>
      </w:rPr>
      <w:t xml:space="preserve">                                                                                                                      </w:t>
    </w:r>
    <w:r w:rsidR="00627499" w:rsidRPr="00BE4307">
      <w:rPr>
        <w:rFonts w:ascii="Avenir Next LT Pro" w:hAnsi="Avenir Next LT Pro"/>
        <w:b/>
        <w:bCs/>
        <w:color w:val="093046"/>
        <w:sz w:val="14"/>
        <w:szCs w:val="14"/>
      </w:rPr>
      <w:t xml:space="preserve">Page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PAGE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1</w:t>
    </w:r>
    <w:r w:rsidR="00627499" w:rsidRPr="00BE4307">
      <w:rPr>
        <w:rFonts w:ascii="Avenir Next LT Pro" w:hAnsi="Avenir Next LT Pro"/>
        <w:b/>
        <w:bCs/>
        <w:color w:val="093046"/>
        <w:sz w:val="14"/>
        <w:szCs w:val="14"/>
      </w:rPr>
      <w:fldChar w:fldCharType="end"/>
    </w:r>
    <w:r w:rsidR="00627499" w:rsidRPr="00BE4307">
      <w:rPr>
        <w:rFonts w:ascii="Avenir Next LT Pro" w:hAnsi="Avenir Next LT Pro"/>
        <w:b/>
        <w:bCs/>
        <w:color w:val="093046"/>
        <w:sz w:val="14"/>
        <w:szCs w:val="14"/>
      </w:rPr>
      <w:t xml:space="preserve"> of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NUMPAGES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2</w:t>
    </w:r>
    <w:r w:rsidR="00627499" w:rsidRPr="00BE4307">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18F1" w14:textId="77777777" w:rsidR="00DB60AD" w:rsidRDefault="00DB60AD" w:rsidP="002C1D48">
      <w:pPr>
        <w:spacing w:after="0" w:line="240" w:lineRule="auto"/>
      </w:pPr>
      <w:r>
        <w:separator/>
      </w:r>
    </w:p>
  </w:footnote>
  <w:footnote w:type="continuationSeparator" w:id="0">
    <w:p w14:paraId="2858132E" w14:textId="77777777" w:rsidR="00DB60AD" w:rsidRDefault="00DB60AD"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4101" w14:textId="449C2E9E" w:rsidR="002C1D48" w:rsidRDefault="00627499">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10692130" cy="756031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10692130" cy="756031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F5119FC" wp14:editId="06BCD0D1">
              <wp:simplePos x="0" y="0"/>
              <wp:positionH relativeFrom="margin">
                <wp:posOffset>8598840</wp:posOffset>
              </wp:positionH>
              <wp:positionV relativeFrom="paragraph">
                <wp:posOffset>-118745</wp:posOffset>
              </wp:positionV>
              <wp:extent cx="939800" cy="7499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749935"/>
                      </a:xfrm>
                      <a:prstGeom prst="rect">
                        <a:avLst/>
                      </a:prstGeom>
                      <a:solidFill>
                        <a:srgbClr val="FBF3E3"/>
                      </a:solidFill>
                      <a:ln w="9525">
                        <a:noFill/>
                        <a:miter lim="800000"/>
                        <a:headEnd/>
                        <a:tailEnd/>
                      </a:ln>
                    </wps:spPr>
                    <wps:txb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119FC" id="_x0000_t202" coordsize="21600,21600" o:spt="202" path="m,l,21600r21600,l21600,xe">
              <v:stroke joinstyle="miter"/>
              <v:path gradientshapeok="t" o:connecttype="rect"/>
            </v:shapetype>
            <v:shape id="Text Box 2" o:spid="_x0000_s1026" type="#_x0000_t202" style="position:absolute;margin-left:677.05pt;margin-top:-9.35pt;width:74pt;height:5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" filled="t" fillcolor="#FBF3E3" stroked="f">
              <v:textbo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margin"/>
            </v:shape>
          </w:pict>
        </mc:Fallback>
      </mc:AlternateContent>
    </w:r>
    <w:r w:rsidR="002C1D48">
      <w:t xml:space="preserve">                                                                                                                                                                                                                                                                                      </w:t>
    </w:r>
  </w:p>
  <w:p w14:paraId="530B39CA" w14:textId="4D7513DC" w:rsidR="002C1D48" w:rsidRDefault="002C1D48">
    <w:pPr>
      <w:pStyle w:val="Header"/>
      <w:rPr>
        <w:noProof/>
      </w:rPr>
    </w:pPr>
  </w:p>
  <w:p w14:paraId="3A695E01" w14:textId="5A8893D5" w:rsidR="002C1D48" w:rsidRDefault="002C1D48">
    <w:pPr>
      <w:pStyle w:val="Header"/>
    </w:pPr>
  </w:p>
  <w:p w14:paraId="19648427" w14:textId="2C7430A1" w:rsidR="002C1D48" w:rsidRDefault="002C1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40785"/>
    <w:rsid w:val="000912FA"/>
    <w:rsid w:val="00121E7F"/>
    <w:rsid w:val="00143897"/>
    <w:rsid w:val="001B673F"/>
    <w:rsid w:val="001C5044"/>
    <w:rsid w:val="0023454E"/>
    <w:rsid w:val="00266038"/>
    <w:rsid w:val="00273853"/>
    <w:rsid w:val="00273EA0"/>
    <w:rsid w:val="00282D75"/>
    <w:rsid w:val="002C03B8"/>
    <w:rsid w:val="002C1D48"/>
    <w:rsid w:val="003416E1"/>
    <w:rsid w:val="004A2CFB"/>
    <w:rsid w:val="004E0FEB"/>
    <w:rsid w:val="004F0B8E"/>
    <w:rsid w:val="004F2073"/>
    <w:rsid w:val="00536A7E"/>
    <w:rsid w:val="00566F3E"/>
    <w:rsid w:val="00603D4C"/>
    <w:rsid w:val="00627499"/>
    <w:rsid w:val="00651BD4"/>
    <w:rsid w:val="00653F3D"/>
    <w:rsid w:val="00672B66"/>
    <w:rsid w:val="00736051"/>
    <w:rsid w:val="00775A88"/>
    <w:rsid w:val="007B789F"/>
    <w:rsid w:val="009111A5"/>
    <w:rsid w:val="00A85B4F"/>
    <w:rsid w:val="00AD32E3"/>
    <w:rsid w:val="00B06CC9"/>
    <w:rsid w:val="00B36172"/>
    <w:rsid w:val="00B54AF5"/>
    <w:rsid w:val="00B739C2"/>
    <w:rsid w:val="00BE4307"/>
    <w:rsid w:val="00C54A70"/>
    <w:rsid w:val="00C56C34"/>
    <w:rsid w:val="00D96FD3"/>
    <w:rsid w:val="00DB60AD"/>
    <w:rsid w:val="00DC2FD2"/>
    <w:rsid w:val="00DE212C"/>
    <w:rsid w:val="00F527D3"/>
    <w:rsid w:val="00FA3AE9"/>
    <w:rsid w:val="00FA47F6"/>
    <w:rsid w:val="00FD68D4"/>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numbering" Target="numbering.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7</Characters>
  <Application>Microsoft Office Word</Application>
  <DocSecurity>0</DocSecurity>
  <Lines>25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2024-07-09T06:39:00Z</dcterms:created>
  <dcterms:modified xsi:type="dcterms:W3CDTF">2026-02-06T12:56:00Z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7570665d35f84d93cf7404b1ef2fe62a404e5e61b980065e8fc44395e4b6c69c</vt:lpwstr>
  </property>
</Properties>
</file>