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Flexible working requests: line manager guide</w:t>
      </w:r>
    </w:p>
    <w:p>
      <w:pPr>
        <w:shd w:val="clear" w:color="auto" w:fill="EAF6F9"/>
        <w:pBdr>
          <w:top w:val="single" w:sz="8" w:space="6" w:color="209EBB"/>
          <w:left w:val="single" w:sz="8" w:space="6" w:color="209EBB"/>
          <w:bottom w:val="single" w:sz="8" w:space="6" w:color="209EBB"/>
          <w:right w:val="single" w:sz="8" w:space="6" w:color="209EBB"/>
        </w:pBdr>
      </w:pPr>
      <w:r>
        <w:rPr>
          <w:b/>
        </w:rPr>
        <w:t>Before you start:</w:t>
      </w:r>
      <w:r>
        <w:t xml:space="preserve"> You must reach a decision on a flexible working request within 2 months of the date of the application. Have the employee's written request and your company's flexible working policy to hand.</w:t>
      </w:r>
    </w:p>
    <w:p>
      <w:pPr>
        <w:jc w:val="left"/>
      </w:pPr>
      <w:r>
        <w:t>Line managers may get flexible working requests from their employees. This guide sets out the points to consider at each stage, so you handle every request fairly and within the correct timeframes.</w:t>
      </w:r>
    </w:p>
    <w:p>
      <w:pPr>
        <w:pStyle w:val="Heading1"/>
      </w:pPr>
      <w:r>
        <w:t>Before you look at the request</w:t>
      </w:r>
    </w:p>
    <w:p>
      <w:pPr>
        <w:pStyle w:val="ListParagraph"/>
        <w:numPr>
          <w:ilvl w:val="0"/>
          <w:numId w:val="2"/>
        </w:numPr>
      </w:pPr>
      <w:r>
        <w:t>Employees have the right to request flexible working from their first day of employment.</w:t>
      </w:r>
    </w:p>
    <w:p>
      <w:pPr>
        <w:pStyle w:val="ListParagraph"/>
        <w:numPr>
          <w:ilvl w:val="0"/>
          <w:numId w:val="2"/>
        </w:numPr>
      </w:pPr>
      <w:r>
        <w:t>You must consider every flexible working request fairly.</w:t>
      </w:r>
    </w:p>
    <w:p>
      <w:pPr>
        <w:pStyle w:val="ListParagraph"/>
        <w:numPr>
          <w:ilvl w:val="0"/>
          <w:numId w:val="2"/>
        </w:numPr>
      </w:pPr>
      <w:r>
        <w:t>Always check your company's policies for the correct process to follow.</w:t>
      </w:r>
    </w:p>
    <w:p>
      <w:pPr>
        <w:pStyle w:val="ListParagraph"/>
        <w:numPr>
          <w:ilvl w:val="0"/>
          <w:numId w:val="2"/>
        </w:numPr>
      </w:pPr>
      <w:r>
        <w:t>The employee must make the request in writing. Your company may have a specific form for this - check your company's policies.</w:t>
      </w:r>
    </w:p>
    <w:p>
      <w:pPr>
        <w:pStyle w:val="Heading1"/>
      </w:pPr>
      <w:r>
        <w:t>Checking eligibility and impact</w:t>
      </w:r>
    </w:p>
    <w:p>
      <w:pPr>
        <w:pStyle w:val="ListParagraph"/>
        <w:numPr>
          <w:ilvl w:val="0"/>
          <w:numId w:val="2"/>
        </w:numPr>
      </w:pPr>
      <w:r>
        <w:t>Find out if the employee has made a flexible working request before. Employees can only make two flexible working requests in any 12-month period.</w:t>
      </w:r>
    </w:p>
    <w:p>
      <w:pPr>
        <w:pStyle w:val="ListParagraph"/>
        <w:numPr>
          <w:ilvl w:val="0"/>
          <w:numId w:val="2"/>
        </w:numPr>
      </w:pPr>
      <w:r>
        <w:t>Consider how the employee would carry out their work under the new working pattern.</w:t>
      </w:r>
    </w:p>
    <w:p>
      <w:pPr>
        <w:pStyle w:val="ListParagraph"/>
        <w:numPr>
          <w:ilvl w:val="0"/>
          <w:numId w:val="2"/>
        </w:numPr>
      </w:pPr>
      <w:r>
        <w:t>Identify any impact the new working pattern may have on productivity.</w:t>
      </w:r>
    </w:p>
    <w:p>
      <w:pPr>
        <w:pStyle w:val="Heading1"/>
      </w:pPr>
      <w:r>
        <w:t>Making and confirming the decision</w:t>
      </w:r>
    </w:p>
    <w:p>
      <w:pPr>
        <w:pStyle w:val="ListParagraph"/>
        <w:numPr>
          <w:ilvl w:val="0"/>
          <w:numId w:val="2"/>
        </w:numPr>
      </w:pPr>
      <w:r>
        <w:rPr>
          <w:b/>
        </w:rPr>
        <w:t>Must do:</w:t>
      </w:r>
      <w:r>
        <w:t xml:space="preserve"> You must make the decision within 2 months of the date of the application, at the most.</w:t>
      </w:r>
    </w:p>
    <w:p>
      <w:pPr>
        <w:pStyle w:val="ListParagraph"/>
        <w:numPr>
          <w:ilvl w:val="0"/>
          <w:numId w:val="2"/>
        </w:numPr>
      </w:pPr>
      <w:r>
        <w:rPr>
          <w:b/>
        </w:rPr>
        <w:t>Must do:</w:t>
      </w:r>
      <w:r>
        <w:t xml:space="preserve"> You must confirm the decision to the employee in writing.</w:t>
      </w:r>
    </w:p>
    <w:p>
      <w:pPr>
        <w:pStyle w:val="ListParagraph"/>
        <w:numPr>
          <w:ilvl w:val="0"/>
          <w:numId w:val="2"/>
        </w:numPr>
      </w:pPr>
      <w:r>
        <w:t>If you refuse the application, the business must be able to give a sound business reason for the decision.</w:t>
      </w:r>
    </w:p>
    <w:p>
      <w:pPr>
        <w:pStyle w:val="Heading1"/>
      </w:pPr>
      <w:r>
        <w:t>Handling an appeal</w:t>
      </w:r>
    </w:p>
    <w:p>
      <w:pPr>
        <w:jc w:val="left"/>
      </w:pPr>
      <w:r>
        <w:t>The employee is entitled to appeal the decision. You must deal with the appeal, and respond to the employee, within 2 months at the most.</w:t>
      </w:r>
    </w:p>
    <w:sectPr w:rsidR="00A316B1" w:rsidRPr="00A316B1" w:rsidSect="00BC64B8">
      <w:headerReference w:type="default" r:id="rId8"/>
      <w:footerReference w:type="default" r:id="rId9"/>
      <w:pgSz w:w="11906" w:h="16838"/>
      <w:pgMar w:top="1440" w:right="1133" w:bottom="1135" w:left="1276"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pPr>
      <w:keepNext/>
      <w:keepLines/>
      <w:spacing w:before="320" w:after="200" w:line="360" w:lineRule="auto"/>
      <w:outlineLvl w:val="0"/>
    </w:pPr>
    <w:rPr>
      <w:rFonts w:ascii="Arial" w:eastAsia="Arial" w:hAnsi="Arial" w:cs="Arial"/>
      <w:b/>
      <w:bCs/>
      <w:color w:val="093046"/>
      <w:sz w:val="32"/>
      <w:szCs w:val="32"/>
    </w:rPr>
  </w:style>
  <w:style w:type="paragraph" w:styleId="Heading2">
    <w:name w:val="heading 2"/>
    <w:basedOn w:val="Normal"/>
    <w:next w:val="Normal"/>
    <w:link w:val="Heading2Char"/>
    <w:qFormat/>
    <w:pPr>
      <w:keepNext/>
      <w:keepLines/>
      <w:spacing w:before="200" w:after="160" w:line="360" w:lineRule="auto"/>
      <w:outlineLvl w:val="1"/>
    </w:pPr>
    <w:rPr>
      <w:rFonts w:ascii="Arial" w:eastAsia="Arial" w:hAnsi="Arial" w:cs="Arial"/>
      <w:b/>
      <w:bCs/>
      <w:color w:val="093046"/>
      <w:sz w:val="28"/>
      <w:szCs w:val="28"/>
    </w:rPr>
  </w:style>
  <w:style w:type="paragraph" w:styleId="Heading3">
    <w:name w:val="heading 3"/>
    <w:basedOn w:val="Normal"/>
    <w:next w:val="Normal"/>
    <w:link w:val="Heading3Char"/>
    <w:qFormat/>
    <w:pPr>
      <w:keepNext/>
      <w:keepLines/>
      <w:spacing w:before="160" w:after="120" w:line="360" w:lineRule="auto"/>
      <w:outlineLvl w:val="2"/>
    </w:pPr>
    <w:rPr>
      <w:rFonts w:ascii="Arial" w:eastAsia="Arial" w:hAnsi="Arial" w:cs="Arial"/>
      <w:b/>
      <w:bCs/>
      <w:color w:val="093046"/>
      <w:sz w:val="26"/>
      <w:szCs w:val="26"/>
    </w:rPr>
  </w:style>
  <w:style w:type="paragraph" w:styleId="Heading4">
    <w:name w:val="heading 4"/>
    <w:basedOn w:val="Normal"/>
    <w:next w:val="Normal"/>
    <w:link w:val="Heading4Char"/>
    <w:unhideWhenUsed/>
    <w:qFormat/>
    <w:rsid w:val="0089153B"/>
    <w:pPr>
      <w:keepNext/>
      <w:keepLines/>
      <w:numPr>
        <w:ilvl w:val="3"/>
        <w:numId w:val="18"/>
      </w:numPr>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Pr>
      <w:rFonts w:ascii="Arial" w:eastAsia="Arial" w:hAnsi="Arial" w:cs="Arial"/>
      <w:b/>
      <w:bCs/>
      <w:color w:val="093046"/>
      <w:sz w:val="32"/>
      <w:szCs w:val="32"/>
    </w:rPr>
  </w:style>
  <w:style w:type="character" w:customStyle="1" w:styleId="Heading2Char">
    <w:name w:val="Heading 2 Char"/>
    <w:basedOn w:val="DefaultParagraphFont"/>
    <w:link w:val="Heading2"/>
    <w:rPr>
      <w:rFonts w:ascii="Arial" w:eastAsia="Arial" w:hAnsi="Arial" w:cs="Arial"/>
      <w:b/>
      <w:bCs/>
      <w:color w:val="093046"/>
      <w:sz w:val="28"/>
      <w:szCs w:val="28"/>
    </w:rPr>
  </w:style>
  <w:style w:type="character" w:customStyle="1" w:styleId="Heading3Char">
    <w:name w:val="Heading 3 Char"/>
    <w:basedOn w:val="DefaultParagraphFont"/>
    <w:link w:val="Heading3"/>
    <w:rPr>
      <w:rFonts w:ascii="Arial" w:eastAsia="Arial" w:hAnsi="Arial" w:cs="Arial"/>
      <w:b/>
      <w:bCs/>
      <w:color w:val="093046"/>
      <w:sz w:val="26"/>
      <w:szCs w:val="26"/>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