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5ACD86E0" w:rsidR="00A12C58" w:rsidRPr="00E70FCE" w:rsidRDefault="0021532A" w:rsidP="00BC64B8">
      <w:pPr>
        <w:shd w:val="clear" w:color="auto" w:fill="4BC7E3"/>
        <w:rPr>
          <w:rFonts w:ascii="Avenir Next LT Pro" w:hAnsi="Avenir Next LT Pro" w:cstheme="minorHAnsi"/>
          <w:b/>
          <w:color w:val="FFFFFF" w:themeColor="background1"/>
          <w:sz w:val="28"/>
          <w:szCs w:val="28"/>
        </w:rPr>
      </w:pPr>
      <w:r>
        <w:rPr>
          <w:rFonts w:cstheme="minorHAnsi"/>
          <w:b/>
          <w:color w:val="FFFFFF" w:themeColor="background1"/>
          <w:sz w:val="28"/>
          <w:szCs w:val="28"/>
        </w:rPr>
        <w:t>EMPLOYMENT RIGHTS ACT 2025</w:t>
      </w:r>
      <w:r w:rsidR="00E70FCE" w:rsidRPr="00E70FCE">
        <w:rPr>
          <w:rFonts w:cstheme="minorHAnsi"/>
          <w:b/>
          <w:color w:val="FFFFFF" w:themeColor="background1"/>
          <w:sz w:val="28"/>
          <w:szCs w:val="28"/>
        </w:rPr>
        <w:t xml:space="preserve"> – </w:t>
      </w:r>
      <w:r w:rsidR="00990550">
        <w:rPr>
          <w:rFonts w:cstheme="minorHAnsi"/>
          <w:b/>
          <w:color w:val="FFFFFF" w:themeColor="background1"/>
          <w:sz w:val="28"/>
          <w:szCs w:val="28"/>
        </w:rPr>
        <w:t>Explainer</w:t>
      </w:r>
    </w:p>
    <w:p w14:paraId="00CD147D" w14:textId="4253286A" w:rsidR="00BC64B8" w:rsidRDefault="00BC64B8" w:rsidP="00A12C58">
      <w:pPr>
        <w:rPr>
          <w:rFonts w:cstheme="minorHAnsi"/>
          <w:b/>
          <w:u w:val="single"/>
        </w:rPr>
      </w:pPr>
    </w:p>
    <w:p w14:paraId="62E1DAF1" w14:textId="77777777" w:rsidR="00E70FCE" w:rsidRPr="00E93EE4" w:rsidRDefault="00E70FCE" w:rsidP="00E70FCE">
      <w:pPr>
        <w:rPr>
          <w:rFonts w:cstheme="minorHAnsi"/>
          <w:b/>
          <w:bCs/>
          <w:sz w:val="24"/>
          <w:szCs w:val="24"/>
        </w:rPr>
      </w:pPr>
      <w:r w:rsidRPr="00E93EE4">
        <w:rPr>
          <w:rFonts w:cstheme="minorHAnsi"/>
          <w:b/>
          <w:bCs/>
          <w:sz w:val="24"/>
          <w:szCs w:val="24"/>
        </w:rPr>
        <w:t>Introduction</w:t>
      </w:r>
    </w:p>
    <w:p w14:paraId="4282287F" w14:textId="77777777" w:rsidR="0021532A" w:rsidRPr="008F6538" w:rsidRDefault="0021532A" w:rsidP="0021532A">
      <w:pPr>
        <w:pBdr>
          <w:bottom w:val="single" w:sz="6" w:space="1" w:color="D9D9D9"/>
        </w:pBdr>
      </w:pPr>
      <w:r w:rsidRPr="008F6538">
        <w:t xml:space="preserve">Over the next two years, </w:t>
      </w:r>
      <w:proofErr w:type="gramStart"/>
      <w:r w:rsidRPr="008F6538">
        <w:t>a number of</w:t>
      </w:r>
      <w:proofErr w:type="gramEnd"/>
      <w:r w:rsidRPr="008F6538">
        <w:t xml:space="preserve"> important changes to UK employment law will come into effect under the Employment Rights Act 2025. These reforms will affect areas such as sick pay, family leave, harassment prevention, </w:t>
      </w:r>
      <w:r w:rsidRPr="0092517D">
        <w:t xml:space="preserve">whistleblowing protections, </w:t>
      </w:r>
      <w:r w:rsidRPr="008F6538">
        <w:t>redundancy consultation and employee rights from day one of employment.</w:t>
      </w:r>
      <w:r w:rsidRPr="0092517D">
        <w:t xml:space="preserve"> </w:t>
      </w:r>
    </w:p>
    <w:p w14:paraId="16586BA1" w14:textId="77777777" w:rsidR="0021532A" w:rsidRPr="008F6538" w:rsidRDefault="0021532A" w:rsidP="0021532A">
      <w:pPr>
        <w:pBdr>
          <w:bottom w:val="single" w:sz="6" w:space="1" w:color="D9D9D9"/>
        </w:pBdr>
      </w:pPr>
      <w:r w:rsidRPr="008F6538">
        <w:t>This briefing is designed to give line managers a straightforward overview of what is changing and when, and what this may mean in practice for managing teams. The focus is on helping managers understand the practical impact, rather than the legal detail.</w:t>
      </w:r>
    </w:p>
    <w:p w14:paraId="5925AAA5" w14:textId="77777777" w:rsidR="0021532A" w:rsidRPr="008F6538" w:rsidRDefault="0021532A" w:rsidP="0021532A">
      <w:pPr>
        <w:pBdr>
          <w:bottom w:val="single" w:sz="6" w:space="1" w:color="D9D9D9"/>
        </w:pBdr>
      </w:pPr>
      <w:r>
        <w:t>These</w:t>
      </w:r>
      <w:r w:rsidRPr="008F6538">
        <w:t xml:space="preserve"> changes </w:t>
      </w:r>
      <w:r>
        <w:t xml:space="preserve">below </w:t>
      </w:r>
      <w:r w:rsidRPr="008F6538">
        <w:t xml:space="preserve">will take effect from April 2026, with further updates expected later in 2026 and into 2027. We will continue to monitor government and </w:t>
      </w:r>
      <w:r>
        <w:t>ACAS</w:t>
      </w:r>
      <w:r w:rsidRPr="008F6538">
        <w:t xml:space="preserve"> guidance as the final regulations are confirmed, and HR will update policies and provide support ahead of each change.</w:t>
      </w:r>
    </w:p>
    <w:p w14:paraId="7C0CB40D" w14:textId="77777777" w:rsidR="0021532A" w:rsidRDefault="0021532A" w:rsidP="0021532A">
      <w:pPr>
        <w:pBdr>
          <w:bottom w:val="single" w:sz="6" w:space="1" w:color="D9D9D9"/>
        </w:pBdr>
      </w:pPr>
      <w:r w:rsidRPr="008F6538">
        <w:t xml:space="preserve">If you have questions about how any of these updates apply in your area, please contact </w:t>
      </w:r>
      <w:r w:rsidRPr="0092517D">
        <w:t>us</w:t>
      </w:r>
      <w:r w:rsidRPr="008F6538">
        <w:t xml:space="preserve"> for advice.</w:t>
      </w:r>
    </w:p>
    <w:p w14:paraId="2F38EBEB" w14:textId="4973D705" w:rsidR="0021532A" w:rsidRPr="0021532A" w:rsidRDefault="0021532A" w:rsidP="0021532A">
      <w:pPr>
        <w:pBdr>
          <w:bottom w:val="single" w:sz="6" w:space="1" w:color="D9D9D9"/>
        </w:pBdr>
        <w:rPr>
          <w:b/>
          <w:bCs/>
        </w:rPr>
      </w:pPr>
      <w:r w:rsidRPr="0021532A">
        <w:rPr>
          <w:b/>
          <w:bCs/>
        </w:rPr>
        <w:t>Timeline of changes</w:t>
      </w:r>
    </w:p>
    <w:tbl>
      <w:tblPr>
        <w:tblStyle w:val="TableGrid"/>
        <w:tblW w:w="0" w:type="auto"/>
        <w:jc w:val="center"/>
        <w:tblLook w:val="04A0" w:firstRow="1" w:lastRow="0" w:firstColumn="1" w:lastColumn="0" w:noHBand="0" w:noVBand="1"/>
      </w:tblPr>
      <w:tblGrid>
        <w:gridCol w:w="2128"/>
        <w:gridCol w:w="3677"/>
        <w:gridCol w:w="3682"/>
      </w:tblGrid>
      <w:tr w:rsidR="0021532A" w:rsidRPr="0092517D" w14:paraId="0B3B0510" w14:textId="77777777" w:rsidTr="009540A7">
        <w:trPr>
          <w:jc w:val="center"/>
        </w:trPr>
        <w:tc>
          <w:tcPr>
            <w:tcW w:w="9926" w:type="dxa"/>
            <w:gridSpan w:val="3"/>
            <w:shd w:val="clear" w:color="auto" w:fill="F2F2F2"/>
          </w:tcPr>
          <w:p w14:paraId="35BF6965" w14:textId="77777777" w:rsidR="0021532A" w:rsidRPr="0092517D" w:rsidRDefault="0021532A" w:rsidP="009540A7">
            <w:pPr>
              <w:jc w:val="center"/>
              <w:rPr>
                <w:sz w:val="28"/>
                <w:szCs w:val="28"/>
              </w:rPr>
            </w:pPr>
            <w:r w:rsidRPr="0092517D">
              <w:rPr>
                <w:b/>
                <w:sz w:val="28"/>
                <w:szCs w:val="28"/>
              </w:rPr>
              <w:t>April 2026</w:t>
            </w:r>
          </w:p>
        </w:tc>
      </w:tr>
      <w:tr w:rsidR="0021532A" w:rsidRPr="0092517D" w14:paraId="745B9661" w14:textId="77777777" w:rsidTr="009540A7">
        <w:trPr>
          <w:jc w:val="center"/>
        </w:trPr>
        <w:tc>
          <w:tcPr>
            <w:tcW w:w="2249" w:type="dxa"/>
          </w:tcPr>
          <w:p w14:paraId="723DE138" w14:textId="77777777" w:rsidR="0021532A" w:rsidRPr="0092517D" w:rsidRDefault="0021532A" w:rsidP="009540A7">
            <w:r>
              <w:t xml:space="preserve"> 1 April 2026</w:t>
            </w:r>
          </w:p>
        </w:tc>
        <w:tc>
          <w:tcPr>
            <w:tcW w:w="3848" w:type="dxa"/>
          </w:tcPr>
          <w:p w14:paraId="4AF61A34" w14:textId="77777777" w:rsidR="0021532A" w:rsidRPr="0092517D" w:rsidRDefault="0021532A" w:rsidP="009540A7">
            <w:r w:rsidRPr="0092517D">
              <w:t>Statutory Sick Pay (SSP) – day-one entitlement</w:t>
            </w:r>
            <w:r w:rsidRPr="0092517D">
              <w:br/>
              <w:t>SSP is payable from the first day of sickness absence for all workers, at 80% of weekly earnings or the flat rate (whichever is lower).</w:t>
            </w:r>
          </w:p>
        </w:tc>
        <w:tc>
          <w:tcPr>
            <w:tcW w:w="3829" w:type="dxa"/>
          </w:tcPr>
          <w:p w14:paraId="5E581647" w14:textId="77777777" w:rsidR="0021532A" w:rsidRPr="0092517D" w:rsidRDefault="0021532A" w:rsidP="009540A7">
            <w:r w:rsidRPr="0092517D">
              <w:t>Be ready for more employees to qualify for SSP from day one. Make sure you know the sickness reporting steps, keep absence records accurate, and signpost support early.</w:t>
            </w:r>
          </w:p>
        </w:tc>
      </w:tr>
      <w:tr w:rsidR="0021532A" w:rsidRPr="0092517D" w14:paraId="0F980C87" w14:textId="77777777" w:rsidTr="009540A7">
        <w:trPr>
          <w:jc w:val="center"/>
        </w:trPr>
        <w:tc>
          <w:tcPr>
            <w:tcW w:w="2249" w:type="dxa"/>
          </w:tcPr>
          <w:p w14:paraId="78A4F95A" w14:textId="77777777" w:rsidR="0021532A" w:rsidRPr="0092517D" w:rsidRDefault="0021532A" w:rsidP="009540A7">
            <w:r>
              <w:t>1 April 2026</w:t>
            </w:r>
          </w:p>
        </w:tc>
        <w:tc>
          <w:tcPr>
            <w:tcW w:w="3848" w:type="dxa"/>
          </w:tcPr>
          <w:p w14:paraId="6BFEE41C" w14:textId="77777777" w:rsidR="0021532A" w:rsidRPr="0092517D" w:rsidRDefault="0021532A" w:rsidP="009540A7">
            <w:r w:rsidRPr="0092517D">
              <w:t>Parental leave – day-one right</w:t>
            </w:r>
            <w:r w:rsidRPr="0092517D">
              <w:br/>
              <w:t>Employees will be able to take parental leave from the start of employment (no one-year qualifying period).</w:t>
            </w:r>
            <w:r>
              <w:t xml:space="preserve"> As this is </w:t>
            </w:r>
            <w:proofErr w:type="spellStart"/>
            <w:r>
              <w:t>uppaid</w:t>
            </w:r>
            <w:proofErr w:type="spellEnd"/>
            <w:r>
              <w:t xml:space="preserve">, pay is unaffected </w:t>
            </w:r>
          </w:p>
        </w:tc>
        <w:tc>
          <w:tcPr>
            <w:tcW w:w="3829" w:type="dxa"/>
          </w:tcPr>
          <w:p w14:paraId="2C81EE19" w14:textId="77777777" w:rsidR="0021532A" w:rsidRPr="0092517D" w:rsidRDefault="0021532A" w:rsidP="009540A7">
            <w:r w:rsidRPr="0092517D">
              <w:t>Expect requests from newer employees. Route requests to HR early and avoid making assumptions about eligibility based on length of service.</w:t>
            </w:r>
          </w:p>
        </w:tc>
      </w:tr>
      <w:tr w:rsidR="0021532A" w:rsidRPr="0092517D" w14:paraId="28DE8590" w14:textId="77777777" w:rsidTr="009540A7">
        <w:trPr>
          <w:jc w:val="center"/>
        </w:trPr>
        <w:tc>
          <w:tcPr>
            <w:tcW w:w="2249" w:type="dxa"/>
          </w:tcPr>
          <w:p w14:paraId="5725498B" w14:textId="77777777" w:rsidR="0021532A" w:rsidRPr="0092517D" w:rsidRDefault="0021532A" w:rsidP="009540A7">
            <w:r>
              <w:t>1 April 2026</w:t>
            </w:r>
          </w:p>
        </w:tc>
        <w:tc>
          <w:tcPr>
            <w:tcW w:w="3848" w:type="dxa"/>
          </w:tcPr>
          <w:p w14:paraId="4C8343AB" w14:textId="77777777" w:rsidR="0021532A" w:rsidRPr="0092517D" w:rsidRDefault="0021532A" w:rsidP="009540A7">
            <w:r w:rsidRPr="0092517D">
              <w:t>Paternity leave – day-one right</w:t>
            </w:r>
            <w:r w:rsidRPr="0092517D">
              <w:br/>
              <w:t>Employees will be to be able to take paternity leave from the start of employment (no qualifying service requirement).</w:t>
            </w:r>
            <w:r>
              <w:t xml:space="preserve"> Leave is a day one right, </w:t>
            </w:r>
            <w:proofErr w:type="gramStart"/>
            <w:r>
              <w:t>however</w:t>
            </w:r>
            <w:proofErr w:type="gramEnd"/>
            <w:r>
              <w:t xml:space="preserve"> leave with pay is still a 26 </w:t>
            </w:r>
            <w:proofErr w:type="gramStart"/>
            <w:r>
              <w:t>weeks</w:t>
            </w:r>
            <w:proofErr w:type="gramEnd"/>
            <w:r>
              <w:t xml:space="preserve"> qualifying period</w:t>
            </w:r>
          </w:p>
        </w:tc>
        <w:tc>
          <w:tcPr>
            <w:tcW w:w="3829" w:type="dxa"/>
          </w:tcPr>
          <w:p w14:paraId="62C7DFB8" w14:textId="77777777" w:rsidR="0021532A" w:rsidRPr="0092517D" w:rsidRDefault="0021532A" w:rsidP="009540A7">
            <w:r w:rsidRPr="0092517D">
              <w:t xml:space="preserve"> Plan cover early where possible and follow the agreed process for approving leave.</w:t>
            </w:r>
          </w:p>
        </w:tc>
      </w:tr>
      <w:tr w:rsidR="0021532A" w:rsidRPr="0092517D" w14:paraId="41B56D30" w14:textId="77777777" w:rsidTr="009540A7">
        <w:trPr>
          <w:jc w:val="center"/>
        </w:trPr>
        <w:tc>
          <w:tcPr>
            <w:tcW w:w="2249" w:type="dxa"/>
          </w:tcPr>
          <w:p w14:paraId="7BB6B87B" w14:textId="77777777" w:rsidR="0021532A" w:rsidRPr="0092517D" w:rsidRDefault="0021532A" w:rsidP="009540A7">
            <w:r>
              <w:t>1 April 2026</w:t>
            </w:r>
          </w:p>
        </w:tc>
        <w:tc>
          <w:tcPr>
            <w:tcW w:w="3848" w:type="dxa"/>
          </w:tcPr>
          <w:p w14:paraId="2BD0385A" w14:textId="77777777" w:rsidR="0021532A" w:rsidRPr="0092517D" w:rsidRDefault="0021532A" w:rsidP="009540A7">
            <w:r w:rsidRPr="0092517D">
              <w:t>Fair Work Agency created</w:t>
            </w:r>
            <w:r w:rsidRPr="0092517D">
              <w:br/>
              <w:t>New enforcement body expected to bring together several enforcement functions and support statutory payment enforcement and tribunal claims.</w:t>
            </w:r>
          </w:p>
        </w:tc>
        <w:tc>
          <w:tcPr>
            <w:tcW w:w="3829" w:type="dxa"/>
          </w:tcPr>
          <w:p w14:paraId="6E0E9D4C" w14:textId="77777777" w:rsidR="0021532A" w:rsidRPr="0092517D" w:rsidRDefault="0021532A" w:rsidP="009540A7">
            <w:r w:rsidRPr="0092517D">
              <w:t>Expect more proactive enforcement of statutory rights. Keep records tidy (hours, pay, leave, absence) and escalate issues early.</w:t>
            </w:r>
          </w:p>
        </w:tc>
      </w:tr>
      <w:tr w:rsidR="0021532A" w:rsidRPr="0092517D" w14:paraId="675E095A" w14:textId="77777777" w:rsidTr="009540A7">
        <w:trPr>
          <w:jc w:val="center"/>
        </w:trPr>
        <w:tc>
          <w:tcPr>
            <w:tcW w:w="2249" w:type="dxa"/>
          </w:tcPr>
          <w:p w14:paraId="682A9896" w14:textId="77777777" w:rsidR="0021532A" w:rsidRPr="0092517D" w:rsidRDefault="0021532A" w:rsidP="009540A7">
            <w:r>
              <w:t>1 April 2026</w:t>
            </w:r>
          </w:p>
        </w:tc>
        <w:tc>
          <w:tcPr>
            <w:tcW w:w="3848" w:type="dxa"/>
          </w:tcPr>
          <w:p w14:paraId="452C9DA4" w14:textId="77777777" w:rsidR="0021532A" w:rsidRPr="0092517D" w:rsidRDefault="0021532A" w:rsidP="009540A7">
            <w:r w:rsidRPr="0092517D">
              <w:t>Collective consultation – higher protective awards</w:t>
            </w:r>
            <w:r w:rsidRPr="0092517D">
              <w:br/>
              <w:t xml:space="preserve">Maximum protective award for failing to </w:t>
            </w:r>
            <w:r w:rsidRPr="0092517D">
              <w:lastRenderedPageBreak/>
              <w:t>follow collective consultation obligations expected to increase from 90 days’ pay to 180 days’ pay.</w:t>
            </w:r>
          </w:p>
        </w:tc>
        <w:tc>
          <w:tcPr>
            <w:tcW w:w="3829" w:type="dxa"/>
          </w:tcPr>
          <w:p w14:paraId="5BA86CAD" w14:textId="77777777" w:rsidR="0021532A" w:rsidRPr="0092517D" w:rsidRDefault="0021532A" w:rsidP="009540A7">
            <w:r w:rsidRPr="0092517D">
              <w:lastRenderedPageBreak/>
              <w:t xml:space="preserve">If your area is affected by large-scale change or potential redundancies, involve </w:t>
            </w:r>
            <w:r w:rsidRPr="0092517D">
              <w:lastRenderedPageBreak/>
              <w:t>HR early. Consultation timing and documentation will matter more.</w:t>
            </w:r>
          </w:p>
        </w:tc>
      </w:tr>
      <w:tr w:rsidR="0021532A" w:rsidRPr="0092517D" w14:paraId="436655DF" w14:textId="77777777" w:rsidTr="009540A7">
        <w:trPr>
          <w:jc w:val="center"/>
        </w:trPr>
        <w:tc>
          <w:tcPr>
            <w:tcW w:w="2249" w:type="dxa"/>
          </w:tcPr>
          <w:p w14:paraId="1D99C01A" w14:textId="77777777" w:rsidR="0021532A" w:rsidRPr="0092517D" w:rsidRDefault="0021532A" w:rsidP="009540A7">
            <w:r>
              <w:lastRenderedPageBreak/>
              <w:t>1 April 2026</w:t>
            </w:r>
          </w:p>
        </w:tc>
        <w:tc>
          <w:tcPr>
            <w:tcW w:w="3848" w:type="dxa"/>
          </w:tcPr>
          <w:p w14:paraId="2E6B6955" w14:textId="77777777" w:rsidR="0021532A" w:rsidRPr="009D4DF9" w:rsidRDefault="0021532A" w:rsidP="009540A7">
            <w:r w:rsidRPr="0092517D">
              <w:t>The</w:t>
            </w:r>
            <w:r w:rsidRPr="009D4DF9">
              <w:t xml:space="preserve"> law will make it clearer that </w:t>
            </w:r>
            <w:r w:rsidRPr="009D4DF9">
              <w:rPr>
                <w:b/>
                <w:bCs/>
              </w:rPr>
              <w:t>raising concerns about sexual harassment at work can count as protected whistleblowing</w:t>
            </w:r>
            <w:r w:rsidRPr="009D4DF9">
              <w:t>.</w:t>
            </w:r>
          </w:p>
          <w:p w14:paraId="69B4AB15" w14:textId="77777777" w:rsidR="0021532A" w:rsidRPr="009D4DF9" w:rsidRDefault="0021532A" w:rsidP="009540A7">
            <w:r w:rsidRPr="009D4DF9">
              <w:t>This means that if an employee reports sexual harassment through whistleblowing channels, they will have stronger legal protection from being treated unfairly or suffering negative consequences because they spoke up.</w:t>
            </w:r>
          </w:p>
          <w:p w14:paraId="5314303A" w14:textId="77777777" w:rsidR="0021532A" w:rsidRPr="0092517D" w:rsidRDefault="0021532A" w:rsidP="009540A7"/>
        </w:tc>
        <w:tc>
          <w:tcPr>
            <w:tcW w:w="3829" w:type="dxa"/>
          </w:tcPr>
          <w:p w14:paraId="488AF49D" w14:textId="77777777" w:rsidR="0021532A" w:rsidRPr="005D26C9" w:rsidRDefault="0021532A" w:rsidP="009540A7">
            <w:r w:rsidRPr="005D26C9">
              <w:t>For line managers, this means:</w:t>
            </w:r>
          </w:p>
          <w:p w14:paraId="15D7192F" w14:textId="77777777" w:rsidR="0021532A" w:rsidRPr="005D26C9" w:rsidRDefault="0021532A" w:rsidP="0021532A">
            <w:pPr>
              <w:numPr>
                <w:ilvl w:val="0"/>
                <w:numId w:val="63"/>
              </w:numPr>
              <w:tabs>
                <w:tab w:val="clear" w:pos="360"/>
                <w:tab w:val="num" w:pos="720"/>
              </w:tabs>
            </w:pPr>
            <w:r w:rsidRPr="005D26C9">
              <w:t>Concerns about sexual harassment may be raised not only as a complaint, but also as a whistleblowing disclosure</w:t>
            </w:r>
          </w:p>
          <w:p w14:paraId="77EDD3FF" w14:textId="77777777" w:rsidR="0021532A" w:rsidRPr="005D26C9" w:rsidRDefault="0021532A" w:rsidP="0021532A">
            <w:pPr>
              <w:numPr>
                <w:ilvl w:val="0"/>
                <w:numId w:val="63"/>
              </w:numPr>
              <w:tabs>
                <w:tab w:val="clear" w:pos="360"/>
                <w:tab w:val="num" w:pos="720"/>
              </w:tabs>
            </w:pPr>
            <w:r w:rsidRPr="005D26C9">
              <w:t>Employees must feel safe to speak up without fear of retaliation</w:t>
            </w:r>
          </w:p>
          <w:p w14:paraId="79EAD91E" w14:textId="77777777" w:rsidR="0021532A" w:rsidRPr="005D26C9" w:rsidRDefault="0021532A" w:rsidP="0021532A">
            <w:pPr>
              <w:numPr>
                <w:ilvl w:val="0"/>
                <w:numId w:val="63"/>
              </w:numPr>
              <w:tabs>
                <w:tab w:val="clear" w:pos="360"/>
                <w:tab w:val="num" w:pos="720"/>
              </w:tabs>
            </w:pPr>
            <w:r w:rsidRPr="005D26C9">
              <w:t>Managers should take all concerns seriously and escalate them through the correct HR reporting routes</w:t>
            </w:r>
          </w:p>
          <w:p w14:paraId="41983AED" w14:textId="77777777" w:rsidR="0021532A" w:rsidRPr="005D26C9" w:rsidRDefault="0021532A" w:rsidP="0021532A">
            <w:pPr>
              <w:numPr>
                <w:ilvl w:val="0"/>
                <w:numId w:val="63"/>
              </w:numPr>
              <w:tabs>
                <w:tab w:val="clear" w:pos="360"/>
                <w:tab w:val="num" w:pos="720"/>
              </w:tabs>
            </w:pPr>
            <w:r w:rsidRPr="005D26C9">
              <w:t>Whistleblowing policies and training may be updated to reflect this change</w:t>
            </w:r>
          </w:p>
          <w:p w14:paraId="081966A6" w14:textId="77777777" w:rsidR="0021532A" w:rsidRPr="005D26C9" w:rsidRDefault="0021532A" w:rsidP="009540A7">
            <w:r w:rsidRPr="005D26C9">
              <w:t>This change is intended to encourage people to report serious workplace wrongdoing and improve protections for those who do.</w:t>
            </w:r>
          </w:p>
          <w:p w14:paraId="5183ABE5" w14:textId="77777777" w:rsidR="0021532A" w:rsidRPr="0092517D" w:rsidRDefault="0021532A" w:rsidP="009540A7"/>
        </w:tc>
      </w:tr>
    </w:tbl>
    <w:p w14:paraId="3939EFE1" w14:textId="77777777" w:rsidR="0021532A" w:rsidRPr="0021532A" w:rsidRDefault="0021532A" w:rsidP="0021532A">
      <w:pPr>
        <w:pStyle w:val="Heading1"/>
        <w:ind w:left="0" w:firstLine="0"/>
        <w:rPr>
          <w:b/>
          <w:bCs/>
          <w:color w:val="auto"/>
        </w:rPr>
      </w:pPr>
      <w:r w:rsidRPr="0021532A">
        <w:rPr>
          <w:b/>
          <w:bCs/>
          <w:color w:val="auto"/>
        </w:rPr>
        <w:t>Glossary (quick explanations)</w:t>
      </w:r>
    </w:p>
    <w:p w14:paraId="7EB46DCA" w14:textId="77777777" w:rsidR="0021532A" w:rsidRPr="0092517D" w:rsidRDefault="0021532A" w:rsidP="0021532A">
      <w:r w:rsidRPr="0092517D">
        <w:rPr>
          <w:b/>
        </w:rPr>
        <w:t xml:space="preserve">Day-one right: </w:t>
      </w:r>
      <w:r w:rsidRPr="0092517D">
        <w:t>A right you can use from your first day of employment. No minimum length of service required.</w:t>
      </w:r>
    </w:p>
    <w:p w14:paraId="6AE4E387" w14:textId="77777777" w:rsidR="0021532A" w:rsidRPr="0092517D" w:rsidRDefault="0021532A" w:rsidP="0021532A">
      <w:r w:rsidRPr="0092517D">
        <w:rPr>
          <w:b/>
        </w:rPr>
        <w:t xml:space="preserve">Qualifying period: </w:t>
      </w:r>
      <w:r w:rsidRPr="0092517D">
        <w:t>The minimum length of time someone must have worked for an employer before they get a particular right.</w:t>
      </w:r>
    </w:p>
    <w:p w14:paraId="69F9A9B4" w14:textId="77777777" w:rsidR="0021532A" w:rsidRPr="0092517D" w:rsidRDefault="0021532A" w:rsidP="0021532A">
      <w:r w:rsidRPr="0092517D">
        <w:rPr>
          <w:b/>
        </w:rPr>
        <w:t xml:space="preserve">Collective consultation: </w:t>
      </w:r>
      <w:r w:rsidRPr="0092517D">
        <w:t>A formal consultation process required when an employer is proposing large-scale redundancies or certain major changes. There are strict rules on timing and information.</w:t>
      </w:r>
    </w:p>
    <w:p w14:paraId="29F03B61" w14:textId="77777777" w:rsidR="0021532A" w:rsidRPr="0092517D" w:rsidRDefault="0021532A" w:rsidP="0021532A">
      <w:r w:rsidRPr="0092517D">
        <w:rPr>
          <w:b/>
        </w:rPr>
        <w:t xml:space="preserve">Protective award: </w:t>
      </w:r>
      <w:r w:rsidRPr="0092517D">
        <w:t>A financial award a tribunal can make when an employer fails to follow collective consultation rules. It is designed to penalise poor process.</w:t>
      </w:r>
    </w:p>
    <w:p w14:paraId="0022BBAE" w14:textId="77777777" w:rsidR="0021532A" w:rsidRPr="0092517D" w:rsidRDefault="0021532A" w:rsidP="0021532A">
      <w:r w:rsidRPr="0092517D">
        <w:rPr>
          <w:b/>
        </w:rPr>
        <w:t xml:space="preserve">Sexual harassment duty: “all reasonable steps”: </w:t>
      </w:r>
      <w:r w:rsidRPr="0092517D">
        <w:t>Employers must be proactive. In practice this means training, clear policies, safe reporting routes, prompt action, and learning from incidents.</w:t>
      </w:r>
    </w:p>
    <w:p w14:paraId="4F86A19B" w14:textId="77777777" w:rsidR="0021532A" w:rsidRPr="0092517D" w:rsidRDefault="0021532A" w:rsidP="0021532A">
      <w:r w:rsidRPr="0092517D">
        <w:rPr>
          <w:b/>
        </w:rPr>
        <w:t xml:space="preserve">Third-party harassment: </w:t>
      </w:r>
      <w:r w:rsidRPr="0092517D">
        <w:t>Harassment aimed at an employee by someone who is not employed by the organisation (for example a customer, client, service user, or member of the public). The planned change means the employer can be held responsible if it doesn’t take reasonable action to prevent or deal with it.</w:t>
      </w:r>
    </w:p>
    <w:p w14:paraId="7AF29544" w14:textId="77777777" w:rsidR="0021532A" w:rsidRPr="0092517D" w:rsidRDefault="0021532A" w:rsidP="0021532A">
      <w:r w:rsidRPr="0092517D">
        <w:rPr>
          <w:b/>
        </w:rPr>
        <w:t xml:space="preserve">Unfair dismissal qualifying period: </w:t>
      </w:r>
      <w:r w:rsidRPr="0092517D">
        <w:t>The length of service someone needs before they can bring an ordinary unfair dismissal claim. Planned reduction to 6 months means managers need tighter, better-documented probation and performance processes.</w:t>
      </w:r>
    </w:p>
    <w:p w14:paraId="475557C0" w14:textId="77777777" w:rsidR="0021532A" w:rsidRDefault="0021532A" w:rsidP="0021532A">
      <w:pPr>
        <w:pBdr>
          <w:bottom w:val="single" w:sz="6" w:space="1" w:color="D9D9D9"/>
        </w:pBdr>
      </w:pPr>
    </w:p>
    <w:p w14:paraId="3C531DCE" w14:textId="77777777" w:rsidR="0021532A" w:rsidRPr="0092517D" w:rsidRDefault="0021532A" w:rsidP="0021532A">
      <w:pPr>
        <w:pBdr>
          <w:bottom w:val="single" w:sz="6" w:space="1" w:color="D9D9D9"/>
        </w:pBdr>
      </w:pPr>
    </w:p>
    <w:p w14:paraId="301438F1" w14:textId="77777777" w:rsidR="0021532A" w:rsidRPr="0021532A" w:rsidRDefault="0021532A" w:rsidP="0021532A">
      <w:pPr>
        <w:pStyle w:val="Heading1"/>
        <w:ind w:left="0" w:firstLine="0"/>
        <w:rPr>
          <w:b/>
          <w:bCs/>
          <w:color w:val="auto"/>
        </w:rPr>
      </w:pPr>
      <w:r w:rsidRPr="0021532A">
        <w:rPr>
          <w:b/>
          <w:bCs/>
          <w:color w:val="auto"/>
        </w:rPr>
        <w:lastRenderedPageBreak/>
        <w:t>Manager checklist (what to do now)</w:t>
      </w:r>
    </w:p>
    <w:p w14:paraId="12D94760" w14:textId="77777777" w:rsidR="0021532A" w:rsidRPr="0092517D" w:rsidRDefault="0021532A" w:rsidP="0021532A">
      <w:pPr>
        <w:pStyle w:val="ListBullet"/>
      </w:pPr>
      <w:r w:rsidRPr="0092517D">
        <w:t>Check sickness reporting and absence recording steps so SSP can be applied correctly from day one.</w:t>
      </w:r>
    </w:p>
    <w:p w14:paraId="3493EED7" w14:textId="77777777" w:rsidR="0021532A" w:rsidRPr="0092517D" w:rsidRDefault="0021532A" w:rsidP="0021532A">
      <w:pPr>
        <w:pStyle w:val="ListBullet"/>
      </w:pPr>
      <w:r w:rsidRPr="0092517D">
        <w:t>Get familiar with family leave request routes (and escalate early if unsure).</w:t>
      </w:r>
    </w:p>
    <w:p w14:paraId="2A3E7417" w14:textId="77777777" w:rsidR="0021532A" w:rsidRPr="0092517D" w:rsidRDefault="0021532A" w:rsidP="0021532A">
      <w:pPr>
        <w:pStyle w:val="ListBullet"/>
      </w:pPr>
      <w:r w:rsidRPr="0092517D">
        <w:t xml:space="preserve">If </w:t>
      </w:r>
      <w:proofErr w:type="gramStart"/>
      <w:r w:rsidRPr="0092517D">
        <w:t>restructure</w:t>
      </w:r>
      <w:proofErr w:type="gramEnd"/>
      <w:r w:rsidRPr="0092517D">
        <w:t>/redundancy is possible in your area, involve HR early and avoid informal promises.</w:t>
      </w:r>
    </w:p>
    <w:p w14:paraId="38F862DC" w14:textId="77777777" w:rsidR="0021532A" w:rsidRPr="0092517D" w:rsidRDefault="0021532A" w:rsidP="0021532A">
      <w:pPr>
        <w:pStyle w:val="ListBullet"/>
      </w:pPr>
      <w:r w:rsidRPr="0092517D">
        <w:t>Refresh harassment prevention: remind teams of standards, how to report, and how concerns are handled.</w:t>
      </w:r>
    </w:p>
    <w:p w14:paraId="2BF556DC" w14:textId="77777777" w:rsidR="0021532A" w:rsidRPr="0092517D" w:rsidRDefault="0021532A" w:rsidP="0021532A">
      <w:pPr>
        <w:pStyle w:val="ListBullet"/>
      </w:pPr>
      <w:r w:rsidRPr="0092517D">
        <w:t xml:space="preserve">Watch for HR updates as Acas and government guidance </w:t>
      </w:r>
      <w:proofErr w:type="gramStart"/>
      <w:r w:rsidRPr="0092517D">
        <w:t>is</w:t>
      </w:r>
      <w:proofErr w:type="gramEnd"/>
      <w:r w:rsidRPr="0092517D">
        <w:t xml:space="preserve"> published and processes are finalised.</w:t>
      </w:r>
    </w:p>
    <w:p w14:paraId="7E11ED97" w14:textId="77777777" w:rsidR="0021532A" w:rsidRPr="0021532A" w:rsidRDefault="0021532A" w:rsidP="0021532A">
      <w:pPr>
        <w:pStyle w:val="Heading1"/>
        <w:ind w:left="0" w:firstLine="0"/>
        <w:rPr>
          <w:b/>
          <w:bCs/>
          <w:color w:val="auto"/>
        </w:rPr>
      </w:pPr>
      <w:r w:rsidRPr="0021532A">
        <w:rPr>
          <w:b/>
          <w:bCs/>
          <w:color w:val="auto"/>
        </w:rPr>
        <w:t>Where to get help</w:t>
      </w:r>
    </w:p>
    <w:p w14:paraId="10D4B87D" w14:textId="77777777" w:rsidR="0021532A" w:rsidRPr="0092517D" w:rsidRDefault="0021532A" w:rsidP="0021532A">
      <w:r w:rsidRPr="0092517D">
        <w:t xml:space="preserve">If you’re unsure how a change applies to a situation in your team, don’t guess. </w:t>
      </w:r>
      <w:r w:rsidRPr="0092517D">
        <w:rPr>
          <w:b/>
        </w:rPr>
        <w:t>Speak to us early</w:t>
      </w:r>
      <w:r w:rsidRPr="0092517D">
        <w:t xml:space="preserve"> so we can guide you on the right process and keep decisions consistent.</w:t>
      </w:r>
    </w:p>
    <w:p w14:paraId="4BB645FD" w14:textId="77777777" w:rsidR="0021532A" w:rsidRPr="0092517D" w:rsidRDefault="0021532A" w:rsidP="0021532A">
      <w:r w:rsidRPr="0092517D">
        <w:t xml:space="preserve">As more detailed regulations and </w:t>
      </w:r>
      <w:proofErr w:type="gramStart"/>
      <w:r w:rsidRPr="0092517D">
        <w:t>Acas</w:t>
      </w:r>
      <w:proofErr w:type="gramEnd"/>
      <w:r w:rsidRPr="0092517D">
        <w:t xml:space="preserve"> guidance </w:t>
      </w:r>
      <w:proofErr w:type="gramStart"/>
      <w:r w:rsidRPr="0092517D">
        <w:t>are</w:t>
      </w:r>
      <w:proofErr w:type="gramEnd"/>
      <w:r w:rsidRPr="0092517D">
        <w:t xml:space="preserve"> published, HR will share updated templates, FAQs and training where needed.</w:t>
      </w:r>
    </w:p>
    <w:p w14:paraId="546ACF11" w14:textId="2096AC80" w:rsidR="00A316B1" w:rsidRPr="00E93EE4" w:rsidRDefault="00A316B1" w:rsidP="00A316B1">
      <w:pPr>
        <w:tabs>
          <w:tab w:val="left" w:pos="7235"/>
        </w:tabs>
        <w:rPr>
          <w:rFonts w:cstheme="minorHAnsi"/>
        </w:rPr>
      </w:pPr>
      <w:r w:rsidRPr="00CD3A79">
        <w:rPr>
          <w:rFonts w:cstheme="minorHAnsi"/>
        </w:rPr>
        <w:tab/>
      </w:r>
    </w:p>
    <w:sectPr w:rsidR="00A316B1" w:rsidRPr="00E93EE4" w:rsidSect="00BC64B8">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5ACB" w14:textId="77777777" w:rsidR="0046589C" w:rsidRDefault="0046589C" w:rsidP="002C1D48">
      <w:pPr>
        <w:spacing w:after="0" w:line="240" w:lineRule="auto"/>
      </w:pPr>
      <w:r>
        <w:separator/>
      </w:r>
    </w:p>
  </w:endnote>
  <w:endnote w:type="continuationSeparator" w:id="0">
    <w:p w14:paraId="182257DE" w14:textId="77777777" w:rsidR="0046589C" w:rsidRDefault="0046589C"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5DD5" w14:textId="77777777" w:rsidR="004A0D1E" w:rsidRDefault="004A0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791608BB" w14:textId="395D4F7B" w:rsidR="004A0D1E" w:rsidRPr="004A0D1E" w:rsidRDefault="004A0D1E" w:rsidP="004A0D1E">
    <w:pPr>
      <w:pStyle w:val="Footer"/>
      <w:rPr>
        <w:rFonts w:ascii="Avenir Next LT Pro" w:hAnsi="Avenir Next LT Pro"/>
        <w:b/>
        <w:bCs/>
        <w:color w:val="093046"/>
        <w:sz w:val="14"/>
        <w:szCs w:val="14"/>
      </w:rPr>
    </w:pPr>
    <w:r w:rsidRPr="004A0D1E">
      <w:rPr>
        <w:rFonts w:ascii="Avenir Next LT Pro" w:hAnsi="Avenir Next LT Pro"/>
        <w:b/>
        <w:bCs/>
        <w:color w:val="093046"/>
        <w:sz w:val="14"/>
        <w:szCs w:val="14"/>
      </w:rPr>
      <w:t>Breathing Space HR Ltd, Registered Office:  19 King Street, The Civic Quarter, Wakefield, WF1 2SQ</w:t>
    </w:r>
  </w:p>
  <w:p w14:paraId="6A790E81" w14:textId="5D59F747" w:rsidR="000E68A4" w:rsidRPr="005067F1" w:rsidRDefault="004A0D1E" w:rsidP="004A0D1E">
    <w:pPr>
      <w:pStyle w:val="Footer"/>
      <w:jc w:val="center"/>
      <w:rPr>
        <w:rFonts w:ascii="Avenir Next LT Pro" w:hAnsi="Avenir Next LT Pro"/>
        <w:b/>
        <w:bCs/>
        <w:color w:val="093046"/>
        <w:sz w:val="14"/>
        <w:szCs w:val="14"/>
      </w:rPr>
    </w:pPr>
    <w:r w:rsidRPr="004A0D1E">
      <w:rPr>
        <w:rFonts w:ascii="Avenir Next LT Pro" w:hAnsi="Avenir Next LT Pro"/>
        <w:b/>
        <w:bCs/>
        <w:color w:val="093046"/>
        <w:sz w:val="14"/>
        <w:szCs w:val="14"/>
      </w:rPr>
      <w:t xml:space="preserve">                                                                            Company Registration Number 5872679                                                         </w:t>
    </w:r>
    <w:r w:rsidR="00BC64B8" w:rsidRPr="005067F1">
      <w:rPr>
        <w:rFonts w:ascii="Avenir Next LT Pro" w:hAnsi="Avenir Next LT Pro"/>
        <w:b/>
        <w:bCs/>
        <w:color w:val="093046"/>
        <w:sz w:val="14"/>
        <w:szCs w:val="14"/>
      </w:rPr>
      <w:t xml:space="preserve">Page </w:t>
    </w:r>
    <w:r w:rsidR="00BC64B8" w:rsidRPr="005067F1">
      <w:rPr>
        <w:rFonts w:ascii="Avenir Next LT Pro" w:hAnsi="Avenir Next LT Pro"/>
        <w:b/>
        <w:bCs/>
        <w:color w:val="093046"/>
        <w:sz w:val="14"/>
        <w:szCs w:val="14"/>
      </w:rPr>
      <w:fldChar w:fldCharType="begin"/>
    </w:r>
    <w:r w:rsidR="00BC64B8" w:rsidRPr="005067F1">
      <w:rPr>
        <w:rFonts w:ascii="Avenir Next LT Pro" w:hAnsi="Avenir Next LT Pro"/>
        <w:b/>
        <w:bCs/>
        <w:color w:val="093046"/>
        <w:sz w:val="14"/>
        <w:szCs w:val="14"/>
      </w:rPr>
      <w:instrText xml:space="preserve"> PAGE  \* Arabic  \* MERGEFORMAT </w:instrText>
    </w:r>
    <w:r w:rsidR="00BC64B8" w:rsidRPr="005067F1">
      <w:rPr>
        <w:rFonts w:ascii="Avenir Next LT Pro" w:hAnsi="Avenir Next LT Pro"/>
        <w:b/>
        <w:bCs/>
        <w:color w:val="093046"/>
        <w:sz w:val="14"/>
        <w:szCs w:val="14"/>
      </w:rPr>
      <w:fldChar w:fldCharType="separate"/>
    </w:r>
    <w:r w:rsidR="00BC64B8" w:rsidRPr="005067F1">
      <w:rPr>
        <w:rFonts w:ascii="Avenir Next LT Pro" w:hAnsi="Avenir Next LT Pro"/>
        <w:b/>
        <w:bCs/>
        <w:color w:val="093046"/>
        <w:sz w:val="14"/>
        <w:szCs w:val="14"/>
      </w:rPr>
      <w:t>1</w:t>
    </w:r>
    <w:r w:rsidR="00BC64B8" w:rsidRPr="005067F1">
      <w:rPr>
        <w:rFonts w:ascii="Avenir Next LT Pro" w:hAnsi="Avenir Next LT Pro"/>
        <w:b/>
        <w:bCs/>
        <w:color w:val="093046"/>
        <w:sz w:val="14"/>
        <w:szCs w:val="14"/>
      </w:rPr>
      <w:fldChar w:fldCharType="end"/>
    </w:r>
    <w:r w:rsidR="00BC64B8" w:rsidRPr="005067F1">
      <w:rPr>
        <w:rFonts w:ascii="Avenir Next LT Pro" w:hAnsi="Avenir Next LT Pro"/>
        <w:b/>
        <w:bCs/>
        <w:color w:val="093046"/>
        <w:sz w:val="14"/>
        <w:szCs w:val="14"/>
      </w:rPr>
      <w:t xml:space="preserve"> of </w:t>
    </w:r>
    <w:r w:rsidR="00BC64B8" w:rsidRPr="005067F1">
      <w:rPr>
        <w:rFonts w:ascii="Avenir Next LT Pro" w:hAnsi="Avenir Next LT Pro"/>
        <w:b/>
        <w:bCs/>
        <w:color w:val="093046"/>
        <w:sz w:val="14"/>
        <w:szCs w:val="14"/>
      </w:rPr>
      <w:fldChar w:fldCharType="begin"/>
    </w:r>
    <w:r w:rsidR="00BC64B8" w:rsidRPr="005067F1">
      <w:rPr>
        <w:rFonts w:ascii="Avenir Next LT Pro" w:hAnsi="Avenir Next LT Pro"/>
        <w:b/>
        <w:bCs/>
        <w:color w:val="093046"/>
        <w:sz w:val="14"/>
        <w:szCs w:val="14"/>
      </w:rPr>
      <w:instrText xml:space="preserve"> NUMPAGES  \* Arabic  \* MERGEFORMAT </w:instrText>
    </w:r>
    <w:r w:rsidR="00BC64B8" w:rsidRPr="005067F1">
      <w:rPr>
        <w:rFonts w:ascii="Avenir Next LT Pro" w:hAnsi="Avenir Next LT Pro"/>
        <w:b/>
        <w:bCs/>
        <w:color w:val="093046"/>
        <w:sz w:val="14"/>
        <w:szCs w:val="14"/>
      </w:rPr>
      <w:fldChar w:fldCharType="separate"/>
    </w:r>
    <w:r w:rsidR="00BC64B8" w:rsidRPr="005067F1">
      <w:rPr>
        <w:rFonts w:ascii="Avenir Next LT Pro" w:hAnsi="Avenir Next LT Pro"/>
        <w:b/>
        <w:bCs/>
        <w:color w:val="093046"/>
        <w:sz w:val="14"/>
        <w:szCs w:val="14"/>
      </w:rPr>
      <w:t>2</w:t>
    </w:r>
    <w:r w:rsidR="00BC64B8" w:rsidRPr="005067F1">
      <w:rPr>
        <w:rFonts w:ascii="Avenir Next LT Pro" w:hAnsi="Avenir Next LT Pro"/>
        <w:b/>
        <w:bCs/>
        <w:color w:val="09304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6632" w14:textId="77777777" w:rsidR="004A0D1E" w:rsidRDefault="004A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0ED2" w14:textId="77777777" w:rsidR="0046589C" w:rsidRDefault="0046589C" w:rsidP="002C1D48">
      <w:pPr>
        <w:spacing w:after="0" w:line="240" w:lineRule="auto"/>
      </w:pPr>
      <w:r>
        <w:separator/>
      </w:r>
    </w:p>
  </w:footnote>
  <w:footnote w:type="continuationSeparator" w:id="0">
    <w:p w14:paraId="725340FF" w14:textId="77777777" w:rsidR="0046589C" w:rsidRDefault="0046589C"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FCCF" w14:textId="77777777" w:rsidR="004A0D1E" w:rsidRDefault="004A0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DB6D" w14:textId="77777777" w:rsidR="004A0D1E" w:rsidRDefault="004A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508F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040811"/>
    <w:multiLevelType w:val="multilevel"/>
    <w:tmpl w:val="5572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95320C"/>
    <w:multiLevelType w:val="multilevel"/>
    <w:tmpl w:val="87C29E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1C44"/>
    <w:multiLevelType w:val="hybridMultilevel"/>
    <w:tmpl w:val="4C6C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6F9C"/>
    <w:multiLevelType w:val="multilevel"/>
    <w:tmpl w:val="0BD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96FDA"/>
    <w:multiLevelType w:val="hybridMultilevel"/>
    <w:tmpl w:val="A2A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C668D"/>
    <w:multiLevelType w:val="hybridMultilevel"/>
    <w:tmpl w:val="51220360"/>
    <w:lvl w:ilvl="0" w:tplc="3E443210">
      <w:start w:val="1"/>
      <w:numFmt w:val="bullet"/>
      <w:pStyle w:val="Bullet4"/>
      <w:lvlText w:val=""/>
      <w:lvlJc w:val="left"/>
      <w:pPr>
        <w:tabs>
          <w:tab w:val="num" w:pos="3402"/>
        </w:tabs>
        <w:ind w:left="3402" w:hanging="850"/>
      </w:pPr>
      <w:rPr>
        <w:rFonts w:ascii="Symbol" w:hAnsi="Symbol" w:hint="default"/>
      </w:rPr>
    </w:lvl>
    <w:lvl w:ilvl="1" w:tplc="08090003">
      <w:start w:val="1"/>
      <w:numFmt w:val="bullet"/>
      <w:pStyle w:val="Heading2"/>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ind w:left="2160" w:hanging="360"/>
      </w:p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9"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1"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55EB2"/>
    <w:multiLevelType w:val="multilevel"/>
    <w:tmpl w:val="5FF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A75FE"/>
    <w:multiLevelType w:val="multilevel"/>
    <w:tmpl w:val="2AE0569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B6204"/>
    <w:multiLevelType w:val="multilevel"/>
    <w:tmpl w:val="914CBE3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venir Next LT Pro" w:eastAsiaTheme="minorEastAsia" w:hAnsi="Avenir Next LT Pro"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3"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772C0"/>
    <w:multiLevelType w:val="hybridMultilevel"/>
    <w:tmpl w:val="1BF61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8" w15:restartNumberingAfterBreak="0">
    <w:nsid w:val="682E72CF"/>
    <w:multiLevelType w:val="hybridMultilevel"/>
    <w:tmpl w:val="73E82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CD1691"/>
    <w:multiLevelType w:val="multilevel"/>
    <w:tmpl w:val="EB9201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3E21BB"/>
    <w:multiLevelType w:val="multilevel"/>
    <w:tmpl w:val="67B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7" w15:restartNumberingAfterBreak="0">
    <w:nsid w:val="7CD07BD9"/>
    <w:multiLevelType w:val="hybridMultilevel"/>
    <w:tmpl w:val="EFCC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5"/>
  </w:num>
  <w:num w:numId="2" w16cid:durableId="559680569">
    <w:abstractNumId w:val="5"/>
  </w:num>
  <w:num w:numId="3" w16cid:durableId="1733624854">
    <w:abstractNumId w:val="26"/>
  </w:num>
  <w:num w:numId="4" w16cid:durableId="824127320">
    <w:abstractNumId w:val="30"/>
  </w:num>
  <w:num w:numId="5" w16cid:durableId="1841890526">
    <w:abstractNumId w:val="14"/>
  </w:num>
  <w:num w:numId="6" w16cid:durableId="984089348">
    <w:abstractNumId w:val="15"/>
  </w:num>
  <w:num w:numId="7" w16cid:durableId="1990404903">
    <w:abstractNumId w:val="3"/>
  </w:num>
  <w:num w:numId="8" w16cid:durableId="1660187124">
    <w:abstractNumId w:val="1"/>
  </w:num>
  <w:num w:numId="9" w16cid:durableId="340476410">
    <w:abstractNumId w:val="42"/>
  </w:num>
  <w:num w:numId="10" w16cid:durableId="897671855">
    <w:abstractNumId w:val="37"/>
  </w:num>
  <w:num w:numId="11" w16cid:durableId="1769230145">
    <w:abstractNumId w:val="28"/>
  </w:num>
  <w:num w:numId="12" w16cid:durableId="1386217818">
    <w:abstractNumId w:val="46"/>
  </w:num>
  <w:num w:numId="13" w16cid:durableId="373308265">
    <w:abstractNumId w:val="32"/>
  </w:num>
  <w:num w:numId="14" w16cid:durableId="350955296">
    <w:abstractNumId w:val="20"/>
  </w:num>
  <w:num w:numId="15" w16cid:durableId="913510228">
    <w:abstractNumId w:val="39"/>
  </w:num>
  <w:num w:numId="16" w16cid:durableId="951979436">
    <w:abstractNumId w:val="16"/>
  </w:num>
  <w:num w:numId="17" w16cid:durableId="495270451">
    <w:abstractNumId w:val="48"/>
  </w:num>
  <w:num w:numId="18" w16cid:durableId="1481843266">
    <w:abstractNumId w:val="18"/>
  </w:num>
  <w:num w:numId="19" w16cid:durableId="550114062">
    <w:abstractNumId w:val="8"/>
  </w:num>
  <w:num w:numId="20" w16cid:durableId="1227259822">
    <w:abstractNumId w:val="41"/>
  </w:num>
  <w:num w:numId="21" w16cid:durableId="1249267492">
    <w:abstractNumId w:val="7"/>
  </w:num>
  <w:num w:numId="22" w16cid:durableId="1301348963">
    <w:abstractNumId w:val="21"/>
  </w:num>
  <w:num w:numId="23" w16cid:durableId="910579060">
    <w:abstractNumId w:val="33"/>
  </w:num>
  <w:num w:numId="24" w16cid:durableId="1704210384">
    <w:abstractNumId w:val="24"/>
  </w:num>
  <w:num w:numId="25" w16cid:durableId="543176872">
    <w:abstractNumId w:val="6"/>
  </w:num>
  <w:num w:numId="26" w16cid:durableId="1240022757">
    <w:abstractNumId w:val="29"/>
  </w:num>
  <w:num w:numId="27" w16cid:durableId="1789200179">
    <w:abstractNumId w:val="2"/>
  </w:num>
  <w:num w:numId="28" w16cid:durableId="750664664">
    <w:abstractNumId w:val="4"/>
  </w:num>
  <w:num w:numId="29" w16cid:durableId="726145073">
    <w:abstractNumId w:val="40"/>
  </w:num>
  <w:num w:numId="30" w16cid:durableId="1755709928">
    <w:abstractNumId w:val="19"/>
  </w:num>
  <w:num w:numId="31" w16cid:durableId="1994141491">
    <w:abstractNumId w:val="23"/>
  </w:num>
  <w:num w:numId="32" w16cid:durableId="1413307515">
    <w:abstractNumId w:val="44"/>
  </w:num>
  <w:num w:numId="33" w16cid:durableId="332219615">
    <w:abstractNumId w:val="10"/>
  </w:num>
  <w:num w:numId="34" w16cid:durableId="1960719414">
    <w:abstractNumId w:val="36"/>
  </w:num>
  <w:num w:numId="35" w16cid:durableId="272328304">
    <w:abstractNumId w:val="25"/>
  </w:num>
  <w:num w:numId="36" w16cid:durableId="1981572910">
    <w:abstractNumId w:val="0"/>
  </w:num>
  <w:num w:numId="37" w16cid:durableId="280966386">
    <w:abstractNumId w:val="38"/>
  </w:num>
  <w:num w:numId="38" w16cid:durableId="1497527698">
    <w:abstractNumId w:val="12"/>
  </w:num>
  <w:num w:numId="39" w16cid:durableId="1424450095">
    <w:abstractNumId w:val="47"/>
  </w:num>
  <w:num w:numId="40" w16cid:durableId="1842961167">
    <w:abstractNumId w:val="31"/>
  </w:num>
  <w:num w:numId="41" w16cid:durableId="321736629">
    <w:abstractNumId w:val="11"/>
  </w:num>
  <w:num w:numId="42" w16cid:durableId="414866973">
    <w:abstractNumId w:val="27"/>
  </w:num>
  <w:num w:numId="43" w16cid:durableId="680012262">
    <w:abstractNumId w:val="13"/>
  </w:num>
  <w:num w:numId="44" w16cid:durableId="1044602613">
    <w:abstractNumId w:val="9"/>
  </w:num>
  <w:num w:numId="45" w16cid:durableId="522791230">
    <w:abstractNumId w:val="22"/>
  </w:num>
  <w:num w:numId="46" w16cid:durableId="2135173061">
    <w:abstractNumId w:val="45"/>
  </w:num>
  <w:num w:numId="47" w16cid:durableId="2131849935">
    <w:abstractNumId w:val="17"/>
  </w:num>
  <w:num w:numId="48" w16cid:durableId="1574777574">
    <w:abstractNumId w:val="18"/>
  </w:num>
  <w:num w:numId="49" w16cid:durableId="1735471934">
    <w:abstractNumId w:val="18"/>
  </w:num>
  <w:num w:numId="50" w16cid:durableId="329723464">
    <w:abstractNumId w:val="0"/>
  </w:num>
  <w:num w:numId="51" w16cid:durableId="1514221049">
    <w:abstractNumId w:val="0"/>
  </w:num>
  <w:num w:numId="52" w16cid:durableId="2140564356">
    <w:abstractNumId w:val="0"/>
  </w:num>
  <w:num w:numId="53" w16cid:durableId="456414226">
    <w:abstractNumId w:val="0"/>
  </w:num>
  <w:num w:numId="54" w16cid:durableId="2064671529">
    <w:abstractNumId w:val="0"/>
  </w:num>
  <w:num w:numId="55" w16cid:durableId="472791558">
    <w:abstractNumId w:val="0"/>
  </w:num>
  <w:num w:numId="56" w16cid:durableId="855078048">
    <w:abstractNumId w:val="34"/>
  </w:num>
  <w:num w:numId="57" w16cid:durableId="2128889059">
    <w:abstractNumId w:val="0"/>
  </w:num>
  <w:num w:numId="58" w16cid:durableId="290139100">
    <w:abstractNumId w:val="18"/>
  </w:num>
  <w:num w:numId="59" w16cid:durableId="1700276538">
    <w:abstractNumId w:val="18"/>
  </w:num>
  <w:num w:numId="60" w16cid:durableId="1402025677">
    <w:abstractNumId w:val="18"/>
  </w:num>
  <w:num w:numId="61" w16cid:durableId="1438405726">
    <w:abstractNumId w:val="18"/>
  </w:num>
  <w:num w:numId="62" w16cid:durableId="1501390221">
    <w:abstractNumId w:val="18"/>
  </w:num>
  <w:num w:numId="63" w16cid:durableId="7184375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A654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1532A"/>
    <w:rsid w:val="00221004"/>
    <w:rsid w:val="00266038"/>
    <w:rsid w:val="002725B5"/>
    <w:rsid w:val="00273853"/>
    <w:rsid w:val="0029445D"/>
    <w:rsid w:val="00297719"/>
    <w:rsid w:val="002C1D48"/>
    <w:rsid w:val="00302955"/>
    <w:rsid w:val="003046B4"/>
    <w:rsid w:val="00314562"/>
    <w:rsid w:val="0033066A"/>
    <w:rsid w:val="00347AF3"/>
    <w:rsid w:val="00362076"/>
    <w:rsid w:val="003710DA"/>
    <w:rsid w:val="003B7C28"/>
    <w:rsid w:val="003F1390"/>
    <w:rsid w:val="00422C35"/>
    <w:rsid w:val="00441DCF"/>
    <w:rsid w:val="00456F4A"/>
    <w:rsid w:val="00461A95"/>
    <w:rsid w:val="0046551B"/>
    <w:rsid w:val="0046589C"/>
    <w:rsid w:val="00474227"/>
    <w:rsid w:val="00485032"/>
    <w:rsid w:val="0049197D"/>
    <w:rsid w:val="004A0D1E"/>
    <w:rsid w:val="004D1018"/>
    <w:rsid w:val="004E0FEB"/>
    <w:rsid w:val="00502DD2"/>
    <w:rsid w:val="005067F1"/>
    <w:rsid w:val="00515A5F"/>
    <w:rsid w:val="005417C2"/>
    <w:rsid w:val="005A2FCA"/>
    <w:rsid w:val="005C0E6D"/>
    <w:rsid w:val="005D230B"/>
    <w:rsid w:val="005F4B4E"/>
    <w:rsid w:val="00603D4C"/>
    <w:rsid w:val="006077C0"/>
    <w:rsid w:val="00614296"/>
    <w:rsid w:val="00647854"/>
    <w:rsid w:val="00657E3E"/>
    <w:rsid w:val="006817ED"/>
    <w:rsid w:val="006B22AC"/>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0550"/>
    <w:rsid w:val="009A4484"/>
    <w:rsid w:val="009B0B72"/>
    <w:rsid w:val="009C307A"/>
    <w:rsid w:val="00A12C58"/>
    <w:rsid w:val="00A2030A"/>
    <w:rsid w:val="00A316B1"/>
    <w:rsid w:val="00AC4AE4"/>
    <w:rsid w:val="00B06CC9"/>
    <w:rsid w:val="00B26092"/>
    <w:rsid w:val="00BA6820"/>
    <w:rsid w:val="00BA6CEA"/>
    <w:rsid w:val="00BC64B8"/>
    <w:rsid w:val="00C0141E"/>
    <w:rsid w:val="00C51363"/>
    <w:rsid w:val="00C8632B"/>
    <w:rsid w:val="00C8704C"/>
    <w:rsid w:val="00C94459"/>
    <w:rsid w:val="00CA2458"/>
    <w:rsid w:val="00CB5FAE"/>
    <w:rsid w:val="00CD3A79"/>
    <w:rsid w:val="00D40D65"/>
    <w:rsid w:val="00D45053"/>
    <w:rsid w:val="00D93E10"/>
    <w:rsid w:val="00DE3866"/>
    <w:rsid w:val="00E0731C"/>
    <w:rsid w:val="00E35F90"/>
    <w:rsid w:val="00E70FCE"/>
    <w:rsid w:val="00E93EE4"/>
    <w:rsid w:val="00EB3C70"/>
    <w:rsid w:val="00EC4DB1"/>
    <w:rsid w:val="00F01343"/>
    <w:rsid w:val="00F062B4"/>
    <w:rsid w:val="00F10D05"/>
    <w:rsid w:val="00F2246D"/>
    <w:rsid w:val="00F26149"/>
    <w:rsid w:val="00F35E5B"/>
    <w:rsid w:val="00F61BF1"/>
    <w:rsid w:val="00F72922"/>
    <w:rsid w:val="00FC2049"/>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uiPriority w:val="10"/>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outlineLvl w:val="2"/>
    </w:pPr>
    <w:rPr>
      <w:b/>
      <w:smallCaps/>
    </w:rPr>
  </w:style>
  <w:style w:type="paragraph" w:customStyle="1" w:styleId="Sch2Heading">
    <w:name w:val="Sch 2 Heading"/>
    <w:basedOn w:val="Sch2Number"/>
    <w:rsid w:val="0089153B"/>
    <w:pPr>
      <w:keepNext/>
      <w:numPr>
        <w:ilvl w:val="0"/>
        <w:numId w:val="0"/>
      </w:numPr>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numPr>
        <w:ilvl w:val="0"/>
        <w:numId w:val="0"/>
      </w:numPr>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styleId="ListBullet">
    <w:name w:val="List Bullet"/>
    <w:basedOn w:val="Normal"/>
    <w:uiPriority w:val="99"/>
    <w:unhideWhenUsed/>
    <w:rsid w:val="00E70FCE"/>
    <w:pPr>
      <w:numPr>
        <w:numId w:val="36"/>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4923</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2026-02-19T12:31:00Z</dcterms:created>
  <dcterms:modified xsi:type="dcterms:W3CDTF">2026-02-19T12:31:00Z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