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23DBE4EC" w:rsidR="00A12C58" w:rsidRPr="00BC64B8" w:rsidRDefault="001C2CFB" w:rsidP="00BC64B8">
      <w:pPr>
        <w:shd w:val="clear" w:color="auto" w:fill="4BC7E3"/>
        <w:rPr>
          <w:rFonts w:cstheme="minorHAnsi"/>
          <w:b/>
          <w:color w:val="FFFFFF" w:themeColor="background1"/>
          <w:sz w:val="24"/>
          <w:szCs w:val="24"/>
        </w:rPr>
      </w:pPr>
      <w:r>
        <w:rPr>
          <w:rFonts w:cstheme="minorHAnsi"/>
          <w:b/>
          <w:color w:val="FFFFFF" w:themeColor="background1"/>
          <w:sz w:val="24"/>
          <w:szCs w:val="24"/>
        </w:rPr>
        <w:t>Disciplinaries</w:t>
      </w:r>
      <w:r w:rsidR="00730A32">
        <w:rPr>
          <w:rFonts w:cstheme="minorHAnsi"/>
          <w:b/>
          <w:color w:val="FFFFFF" w:themeColor="background1"/>
          <w:sz w:val="24"/>
          <w:szCs w:val="24"/>
        </w:rPr>
        <w:t xml:space="preserve"> </w:t>
      </w:r>
      <w:r>
        <w:rPr>
          <w:rFonts w:cstheme="minorHAnsi"/>
          <w:b/>
          <w:color w:val="FFFFFF" w:themeColor="background1"/>
          <w:sz w:val="24"/>
          <w:szCs w:val="24"/>
        </w:rPr>
        <w:t>– Line Manager Guide</w:t>
      </w:r>
    </w:p>
    <w:p w14:paraId="00CD147D" w14:textId="4253286A" w:rsidR="00BC64B8" w:rsidRDefault="00BC64B8" w:rsidP="00A12C58">
      <w:pPr>
        <w:rPr>
          <w:rFonts w:cstheme="minorHAnsi"/>
          <w:b/>
          <w:u w:val="single"/>
        </w:rPr>
      </w:pPr>
    </w:p>
    <w:p w14:paraId="4EEFC81D" w14:textId="77777777" w:rsidR="00E14BBE" w:rsidRPr="003B405F" w:rsidRDefault="00E14BBE" w:rsidP="00E14BBE">
      <w:pPr>
        <w:jc w:val="both"/>
        <w:rPr>
          <w:rFonts w:cstheme="minorHAnsi"/>
        </w:rPr>
      </w:pPr>
      <w:r w:rsidRPr="003B405F">
        <w:rPr>
          <w:rFonts w:cstheme="minorHAnsi"/>
        </w:rPr>
        <w:t>Line Managers may get involved in dealing with disciplinary cases.</w:t>
      </w:r>
    </w:p>
    <w:p w14:paraId="5FDCE982" w14:textId="77777777" w:rsidR="00E14BBE" w:rsidRPr="003B405F" w:rsidRDefault="00E14BBE" w:rsidP="00E14BBE">
      <w:pPr>
        <w:jc w:val="both"/>
        <w:rPr>
          <w:rFonts w:cstheme="minorHAnsi"/>
          <w:b/>
          <w:sz w:val="24"/>
          <w:szCs w:val="24"/>
        </w:rPr>
      </w:pPr>
      <w:r w:rsidRPr="003B405F">
        <w:rPr>
          <w:rFonts w:cstheme="minorHAnsi"/>
          <w:b/>
          <w:sz w:val="24"/>
          <w:szCs w:val="24"/>
        </w:rPr>
        <w:t xml:space="preserve">Key </w:t>
      </w:r>
      <w:r>
        <w:rPr>
          <w:rFonts w:cstheme="minorHAnsi"/>
          <w:b/>
          <w:sz w:val="24"/>
          <w:szCs w:val="24"/>
        </w:rPr>
        <w:t>P</w:t>
      </w:r>
      <w:r w:rsidRPr="003B405F">
        <w:rPr>
          <w:rFonts w:cstheme="minorHAnsi"/>
          <w:b/>
          <w:sz w:val="24"/>
          <w:szCs w:val="24"/>
        </w:rPr>
        <w:t xml:space="preserve">oints to </w:t>
      </w:r>
      <w:r>
        <w:rPr>
          <w:rFonts w:cstheme="minorHAnsi"/>
          <w:b/>
          <w:sz w:val="24"/>
          <w:szCs w:val="24"/>
        </w:rPr>
        <w:t>C</w:t>
      </w:r>
      <w:r w:rsidRPr="003B405F">
        <w:rPr>
          <w:rFonts w:cstheme="minorHAnsi"/>
          <w:b/>
          <w:sz w:val="24"/>
          <w:szCs w:val="24"/>
        </w:rPr>
        <w:t xml:space="preserve">onsider </w:t>
      </w:r>
      <w:r>
        <w:rPr>
          <w:rFonts w:cstheme="minorHAnsi"/>
          <w:b/>
          <w:sz w:val="24"/>
          <w:szCs w:val="24"/>
        </w:rPr>
        <w:t>W</w:t>
      </w:r>
      <w:r w:rsidRPr="003B405F">
        <w:rPr>
          <w:rFonts w:cstheme="minorHAnsi"/>
          <w:b/>
          <w:sz w:val="24"/>
          <w:szCs w:val="24"/>
        </w:rPr>
        <w:t xml:space="preserve">hen </w:t>
      </w:r>
      <w:r>
        <w:rPr>
          <w:rFonts w:cstheme="minorHAnsi"/>
          <w:b/>
          <w:sz w:val="24"/>
          <w:szCs w:val="24"/>
        </w:rPr>
        <w:t>D</w:t>
      </w:r>
      <w:r w:rsidRPr="003B405F">
        <w:rPr>
          <w:rFonts w:cstheme="minorHAnsi"/>
          <w:b/>
          <w:sz w:val="24"/>
          <w:szCs w:val="24"/>
        </w:rPr>
        <w:t xml:space="preserve">ealing </w:t>
      </w:r>
      <w:proofErr w:type="gramStart"/>
      <w:r>
        <w:rPr>
          <w:rFonts w:cstheme="minorHAnsi"/>
          <w:b/>
          <w:sz w:val="24"/>
          <w:szCs w:val="24"/>
        </w:rPr>
        <w:t>W</w:t>
      </w:r>
      <w:r w:rsidRPr="003B405F">
        <w:rPr>
          <w:rFonts w:cstheme="minorHAnsi"/>
          <w:b/>
          <w:sz w:val="24"/>
          <w:szCs w:val="24"/>
        </w:rPr>
        <w:t>ith</w:t>
      </w:r>
      <w:proofErr w:type="gramEnd"/>
      <w:r w:rsidRPr="003B405F">
        <w:rPr>
          <w:rFonts w:cstheme="minorHAnsi"/>
          <w:b/>
          <w:sz w:val="24"/>
          <w:szCs w:val="24"/>
        </w:rPr>
        <w:t xml:space="preserve"> </w:t>
      </w:r>
      <w:r>
        <w:rPr>
          <w:rFonts w:cstheme="minorHAnsi"/>
          <w:b/>
          <w:sz w:val="24"/>
          <w:szCs w:val="24"/>
        </w:rPr>
        <w:t>P</w:t>
      </w:r>
      <w:r w:rsidRPr="003B405F">
        <w:rPr>
          <w:rFonts w:cstheme="minorHAnsi"/>
          <w:b/>
          <w:sz w:val="24"/>
          <w:szCs w:val="24"/>
        </w:rPr>
        <w:t xml:space="preserve">otential </w:t>
      </w:r>
      <w:r>
        <w:rPr>
          <w:rFonts w:cstheme="minorHAnsi"/>
          <w:b/>
          <w:sz w:val="24"/>
          <w:szCs w:val="24"/>
        </w:rPr>
        <w:t>D</w:t>
      </w:r>
      <w:r w:rsidRPr="003B405F">
        <w:rPr>
          <w:rFonts w:cstheme="minorHAnsi"/>
          <w:b/>
          <w:sz w:val="24"/>
          <w:szCs w:val="24"/>
        </w:rPr>
        <w:t xml:space="preserve">isciplinary </w:t>
      </w:r>
    </w:p>
    <w:p w14:paraId="38F70C6C" w14:textId="77777777" w:rsidR="00E14BBE" w:rsidRPr="003B405F" w:rsidRDefault="00E14BBE" w:rsidP="00E14BBE">
      <w:pPr>
        <w:pStyle w:val="ListParagraph"/>
        <w:numPr>
          <w:ilvl w:val="0"/>
          <w:numId w:val="36"/>
        </w:numPr>
        <w:spacing w:line="360" w:lineRule="auto"/>
        <w:ind w:left="567" w:hanging="567"/>
        <w:jc w:val="both"/>
        <w:rPr>
          <w:rFonts w:cstheme="minorHAnsi"/>
        </w:rPr>
      </w:pPr>
      <w:r w:rsidRPr="003B405F">
        <w:rPr>
          <w:rFonts w:cstheme="minorHAnsi"/>
        </w:rPr>
        <w:t>Consider the facts and plan an action list.</w:t>
      </w:r>
      <w:r>
        <w:rPr>
          <w:rFonts w:cstheme="minorHAnsi"/>
        </w:rPr>
        <w:t xml:space="preserve"> </w:t>
      </w:r>
      <w:r w:rsidRPr="003B405F">
        <w:rPr>
          <w:rFonts w:cstheme="minorHAnsi"/>
        </w:rPr>
        <w:t>Assign the roles to each step based on this list.</w:t>
      </w:r>
    </w:p>
    <w:p w14:paraId="78A47029" w14:textId="77777777" w:rsidR="00E14BBE" w:rsidRPr="003B405F" w:rsidRDefault="00E14BBE" w:rsidP="00E14BBE">
      <w:pPr>
        <w:pStyle w:val="ListParagraph"/>
        <w:numPr>
          <w:ilvl w:val="0"/>
          <w:numId w:val="36"/>
        </w:numPr>
        <w:spacing w:line="360" w:lineRule="auto"/>
        <w:ind w:left="567" w:hanging="567"/>
        <w:jc w:val="both"/>
        <w:rPr>
          <w:rFonts w:cstheme="minorHAnsi"/>
        </w:rPr>
      </w:pPr>
      <w:r w:rsidRPr="003B405F">
        <w:rPr>
          <w:rFonts w:cstheme="minorHAnsi"/>
        </w:rPr>
        <w:t xml:space="preserve">Always follow the </w:t>
      </w:r>
      <w:r>
        <w:rPr>
          <w:rFonts w:cstheme="minorHAnsi"/>
        </w:rPr>
        <w:t>Company’s</w:t>
      </w:r>
      <w:r w:rsidRPr="003B405F">
        <w:rPr>
          <w:rFonts w:cstheme="minorHAnsi"/>
        </w:rPr>
        <w:t xml:space="preserve"> written disciplinary policies </w:t>
      </w:r>
      <w:r>
        <w:rPr>
          <w:rFonts w:cstheme="minorHAnsi"/>
        </w:rPr>
        <w:t>to</w:t>
      </w:r>
      <w:r w:rsidRPr="003B405F">
        <w:rPr>
          <w:rFonts w:cstheme="minorHAnsi"/>
        </w:rPr>
        <w:t xml:space="preserve"> </w:t>
      </w:r>
      <w:r>
        <w:rPr>
          <w:rFonts w:cstheme="minorHAnsi"/>
        </w:rPr>
        <w:t>ensure</w:t>
      </w:r>
      <w:r w:rsidRPr="003B405F">
        <w:rPr>
          <w:rFonts w:cstheme="minorHAnsi"/>
        </w:rPr>
        <w:t xml:space="preserve"> fairness in the process.</w:t>
      </w:r>
    </w:p>
    <w:p w14:paraId="576FC86F" w14:textId="77777777" w:rsidR="00E14BBE" w:rsidRPr="003B405F" w:rsidRDefault="00E14BBE" w:rsidP="00E14BBE">
      <w:pPr>
        <w:pStyle w:val="ListParagraph"/>
        <w:numPr>
          <w:ilvl w:val="0"/>
          <w:numId w:val="36"/>
        </w:numPr>
        <w:spacing w:line="360" w:lineRule="auto"/>
        <w:ind w:left="567" w:hanging="567"/>
        <w:jc w:val="both"/>
        <w:rPr>
          <w:rFonts w:cstheme="minorHAnsi"/>
        </w:rPr>
      </w:pPr>
      <w:r w:rsidRPr="003B405F">
        <w:rPr>
          <w:rFonts w:cstheme="minorHAnsi"/>
        </w:rPr>
        <w:t>Always conduct a thorough investigation to establish the full facts of the case.</w:t>
      </w:r>
    </w:p>
    <w:p w14:paraId="766927C2" w14:textId="77777777" w:rsidR="00E14BBE" w:rsidRPr="003B405F" w:rsidRDefault="00E14BBE" w:rsidP="00E14BBE">
      <w:pPr>
        <w:pStyle w:val="ListParagraph"/>
        <w:numPr>
          <w:ilvl w:val="0"/>
          <w:numId w:val="36"/>
        </w:numPr>
        <w:spacing w:line="360" w:lineRule="auto"/>
        <w:ind w:left="567" w:hanging="567"/>
        <w:jc w:val="both"/>
        <w:rPr>
          <w:rFonts w:cstheme="minorHAnsi"/>
        </w:rPr>
      </w:pPr>
      <w:r w:rsidRPr="003B405F">
        <w:rPr>
          <w:rFonts w:cstheme="minorHAnsi"/>
        </w:rPr>
        <w:t xml:space="preserve">It is good practice for the investigation to be conducted by a manager </w:t>
      </w:r>
      <w:r>
        <w:rPr>
          <w:rFonts w:cstheme="minorHAnsi"/>
        </w:rPr>
        <w:t xml:space="preserve">who will not be </w:t>
      </w:r>
      <w:r w:rsidRPr="003B405F">
        <w:rPr>
          <w:rFonts w:cstheme="minorHAnsi"/>
        </w:rPr>
        <w:t xml:space="preserve">involved in the disciplinary </w:t>
      </w:r>
      <w:r>
        <w:rPr>
          <w:rFonts w:cstheme="minorHAnsi"/>
        </w:rPr>
        <w:t>meeting</w:t>
      </w:r>
      <w:r w:rsidRPr="003B405F">
        <w:rPr>
          <w:rFonts w:cstheme="minorHAnsi"/>
        </w:rPr>
        <w:t>. This may not always be possible in small companies</w:t>
      </w:r>
      <w:r>
        <w:rPr>
          <w:rFonts w:cstheme="minorHAnsi"/>
        </w:rPr>
        <w:t>; however,</w:t>
      </w:r>
      <w:r w:rsidRPr="003B405F">
        <w:rPr>
          <w:rFonts w:cstheme="minorHAnsi"/>
        </w:rPr>
        <w:t xml:space="preserve"> an independent person</w:t>
      </w:r>
      <w:r>
        <w:rPr>
          <w:rFonts w:cstheme="minorHAnsi"/>
        </w:rPr>
        <w:t>,</w:t>
      </w:r>
      <w:r w:rsidRPr="003B405F">
        <w:rPr>
          <w:rFonts w:cstheme="minorHAnsi"/>
        </w:rPr>
        <w:t xml:space="preserve"> such as an HR consultant</w:t>
      </w:r>
      <w:r>
        <w:rPr>
          <w:rFonts w:cstheme="minorHAnsi"/>
        </w:rPr>
        <w:t>,</w:t>
      </w:r>
      <w:r w:rsidRPr="003B405F">
        <w:rPr>
          <w:rFonts w:cstheme="minorHAnsi"/>
        </w:rPr>
        <w:t xml:space="preserve"> can be involved in the </w:t>
      </w:r>
      <w:r>
        <w:rPr>
          <w:rFonts w:cstheme="minorHAnsi"/>
        </w:rPr>
        <w:t>meeting</w:t>
      </w:r>
      <w:r w:rsidRPr="003B405F">
        <w:rPr>
          <w:rFonts w:cstheme="minorHAnsi"/>
        </w:rPr>
        <w:t xml:space="preserve">. </w:t>
      </w:r>
    </w:p>
    <w:p w14:paraId="3B272AB9" w14:textId="77777777" w:rsidR="00E14BBE" w:rsidRPr="003B405F" w:rsidRDefault="00E14BBE" w:rsidP="00E14BBE">
      <w:pPr>
        <w:pStyle w:val="ListParagraph"/>
        <w:numPr>
          <w:ilvl w:val="0"/>
          <w:numId w:val="36"/>
        </w:numPr>
        <w:spacing w:line="360" w:lineRule="auto"/>
        <w:ind w:left="567" w:hanging="567"/>
        <w:jc w:val="both"/>
        <w:rPr>
          <w:rFonts w:cstheme="minorHAnsi"/>
        </w:rPr>
      </w:pPr>
      <w:r w:rsidRPr="003B405F">
        <w:rPr>
          <w:rFonts w:cstheme="minorHAnsi"/>
        </w:rPr>
        <w:t xml:space="preserve">Always send a written </w:t>
      </w:r>
      <w:r>
        <w:rPr>
          <w:rFonts w:cstheme="minorHAnsi"/>
        </w:rPr>
        <w:t>invitation</w:t>
      </w:r>
      <w:r w:rsidRPr="003B405F">
        <w:rPr>
          <w:rFonts w:cstheme="minorHAnsi"/>
        </w:rPr>
        <w:t xml:space="preserve"> to the employee in question if a disciplinary </w:t>
      </w:r>
      <w:r>
        <w:rPr>
          <w:rFonts w:cstheme="minorHAnsi"/>
        </w:rPr>
        <w:t>meeting</w:t>
      </w:r>
      <w:r w:rsidRPr="003B405F">
        <w:rPr>
          <w:rFonts w:cstheme="minorHAnsi"/>
        </w:rPr>
        <w:t xml:space="preserve"> is needed.</w:t>
      </w:r>
    </w:p>
    <w:p w14:paraId="689ECEC0" w14:textId="77777777" w:rsidR="00E14BBE" w:rsidRPr="003B405F" w:rsidRDefault="00E14BBE" w:rsidP="00E14BBE">
      <w:pPr>
        <w:pStyle w:val="ListParagraph"/>
        <w:numPr>
          <w:ilvl w:val="0"/>
          <w:numId w:val="36"/>
        </w:numPr>
        <w:spacing w:line="360" w:lineRule="auto"/>
        <w:ind w:left="567" w:hanging="567"/>
        <w:jc w:val="both"/>
        <w:rPr>
          <w:rFonts w:cstheme="minorHAnsi"/>
        </w:rPr>
      </w:pPr>
      <w:r w:rsidRPr="003B405F">
        <w:rPr>
          <w:rFonts w:cstheme="minorHAnsi"/>
        </w:rPr>
        <w:t xml:space="preserve">Allow a reasonable time between sending the invite and the </w:t>
      </w:r>
      <w:r>
        <w:rPr>
          <w:rFonts w:cstheme="minorHAnsi"/>
        </w:rPr>
        <w:t>meeting date</w:t>
      </w:r>
      <w:r w:rsidRPr="003B405F">
        <w:rPr>
          <w:rFonts w:cstheme="minorHAnsi"/>
        </w:rPr>
        <w:t xml:space="preserve">. This is to </w:t>
      </w:r>
      <w:r>
        <w:rPr>
          <w:rFonts w:cstheme="minorHAnsi"/>
        </w:rPr>
        <w:t xml:space="preserve">ensure </w:t>
      </w:r>
      <w:r w:rsidRPr="00F1554F">
        <w:rPr>
          <w:rFonts w:cstheme="minorHAnsi"/>
        </w:rPr>
        <w:t xml:space="preserve">the employee has time to prepare and </w:t>
      </w:r>
      <w:proofErr w:type="gramStart"/>
      <w:r w:rsidRPr="00F1554F">
        <w:rPr>
          <w:rFonts w:cstheme="minorHAnsi"/>
        </w:rPr>
        <w:t xml:space="preserve">make </w:t>
      </w:r>
      <w:r w:rsidRPr="003B405F">
        <w:rPr>
          <w:rFonts w:cstheme="minorHAnsi"/>
        </w:rPr>
        <w:t>arrangements</w:t>
      </w:r>
      <w:proofErr w:type="gramEnd"/>
      <w:r w:rsidRPr="003B405F">
        <w:rPr>
          <w:rFonts w:cstheme="minorHAnsi"/>
        </w:rPr>
        <w:t>.</w:t>
      </w:r>
      <w:r>
        <w:rPr>
          <w:rFonts w:cstheme="minorHAnsi"/>
        </w:rPr>
        <w:t xml:space="preserve"> </w:t>
      </w:r>
      <w:r w:rsidRPr="003B405F">
        <w:rPr>
          <w:rFonts w:cstheme="minorHAnsi"/>
        </w:rPr>
        <w:t>48 hours (not including weekends) or more is considered reasonable.</w:t>
      </w:r>
    </w:p>
    <w:p w14:paraId="2F6E89E5" w14:textId="77777777" w:rsidR="00E14BBE" w:rsidRPr="003B405F" w:rsidRDefault="00E14BBE" w:rsidP="00E14BBE">
      <w:pPr>
        <w:pStyle w:val="ListParagraph"/>
        <w:numPr>
          <w:ilvl w:val="0"/>
          <w:numId w:val="36"/>
        </w:numPr>
        <w:spacing w:line="360" w:lineRule="auto"/>
        <w:ind w:left="567" w:hanging="567"/>
        <w:jc w:val="both"/>
        <w:rPr>
          <w:rFonts w:cstheme="minorHAnsi"/>
        </w:rPr>
      </w:pPr>
      <w:r w:rsidRPr="003B405F">
        <w:rPr>
          <w:rFonts w:cstheme="minorHAnsi"/>
        </w:rPr>
        <w:t>Always advise the employee in the invitation of their right to be accompanied by a fellow worker or trade union representative in writing.</w:t>
      </w:r>
    </w:p>
    <w:p w14:paraId="3EACF07B" w14:textId="77777777" w:rsidR="00E14BBE" w:rsidRPr="003B405F" w:rsidRDefault="00E14BBE" w:rsidP="00E14BBE">
      <w:pPr>
        <w:pStyle w:val="ListParagraph"/>
        <w:numPr>
          <w:ilvl w:val="0"/>
          <w:numId w:val="36"/>
        </w:numPr>
        <w:spacing w:line="360" w:lineRule="auto"/>
        <w:ind w:left="567" w:hanging="567"/>
        <w:jc w:val="both"/>
        <w:rPr>
          <w:rFonts w:cstheme="minorHAnsi"/>
        </w:rPr>
      </w:pPr>
      <w:r w:rsidRPr="003B405F">
        <w:rPr>
          <w:rFonts w:cstheme="minorHAnsi"/>
        </w:rPr>
        <w:t>It is best practice to have a separate notetaker at the meeting or record the meeting if the employee consents.</w:t>
      </w:r>
      <w:r>
        <w:rPr>
          <w:rFonts w:cstheme="minorHAnsi"/>
        </w:rPr>
        <w:t xml:space="preserve"> </w:t>
      </w:r>
      <w:r w:rsidRPr="003B405F">
        <w:rPr>
          <w:rFonts w:cstheme="minorHAnsi"/>
        </w:rPr>
        <w:t xml:space="preserve">This will allow the </w:t>
      </w:r>
      <w:r>
        <w:rPr>
          <w:rFonts w:cstheme="minorHAnsi"/>
        </w:rPr>
        <w:t>Meeting Manager</w:t>
      </w:r>
      <w:r w:rsidRPr="003B405F">
        <w:rPr>
          <w:rFonts w:cstheme="minorHAnsi"/>
        </w:rPr>
        <w:t xml:space="preserve"> to focus on the case.</w:t>
      </w:r>
    </w:p>
    <w:p w14:paraId="0B9273CE" w14:textId="77777777" w:rsidR="00E14BBE" w:rsidRPr="003B405F" w:rsidRDefault="00E14BBE" w:rsidP="00E14BBE">
      <w:pPr>
        <w:pStyle w:val="ListParagraph"/>
        <w:numPr>
          <w:ilvl w:val="0"/>
          <w:numId w:val="36"/>
        </w:numPr>
        <w:spacing w:line="360" w:lineRule="auto"/>
        <w:ind w:left="567" w:hanging="567"/>
        <w:jc w:val="both"/>
        <w:rPr>
          <w:rFonts w:cstheme="minorHAnsi"/>
        </w:rPr>
      </w:pPr>
      <w:r w:rsidRPr="003B405F">
        <w:rPr>
          <w:rFonts w:cstheme="minorHAnsi"/>
        </w:rPr>
        <w:t xml:space="preserve">The </w:t>
      </w:r>
      <w:r>
        <w:rPr>
          <w:rFonts w:cstheme="minorHAnsi"/>
        </w:rPr>
        <w:t>Meeting Manager</w:t>
      </w:r>
      <w:r w:rsidRPr="003B405F">
        <w:rPr>
          <w:rFonts w:cstheme="minorHAnsi"/>
        </w:rPr>
        <w:t xml:space="preserve"> should allow the employee or companion to put their case forward.</w:t>
      </w:r>
    </w:p>
    <w:p w14:paraId="0C716681" w14:textId="77777777" w:rsidR="00E14BBE" w:rsidRPr="003B405F" w:rsidRDefault="00E14BBE" w:rsidP="00E14BBE">
      <w:pPr>
        <w:pStyle w:val="ListParagraph"/>
        <w:numPr>
          <w:ilvl w:val="0"/>
          <w:numId w:val="36"/>
        </w:numPr>
        <w:spacing w:line="360" w:lineRule="auto"/>
        <w:ind w:left="567" w:hanging="567"/>
        <w:jc w:val="both"/>
        <w:rPr>
          <w:rFonts w:cstheme="minorHAnsi"/>
        </w:rPr>
      </w:pPr>
      <w:r w:rsidRPr="003B405F">
        <w:rPr>
          <w:rFonts w:cstheme="minorHAnsi"/>
        </w:rPr>
        <w:t xml:space="preserve">At the end of the meeting, </w:t>
      </w:r>
      <w:r>
        <w:rPr>
          <w:rFonts w:cstheme="minorHAnsi"/>
        </w:rPr>
        <w:t xml:space="preserve">the Meeting Manager </w:t>
      </w:r>
      <w:r w:rsidRPr="003B405F">
        <w:rPr>
          <w:rFonts w:cstheme="minorHAnsi"/>
        </w:rPr>
        <w:t xml:space="preserve">either </w:t>
      </w:r>
      <w:r>
        <w:rPr>
          <w:rFonts w:cstheme="minorHAnsi"/>
        </w:rPr>
        <w:t>adjourns</w:t>
      </w:r>
      <w:r w:rsidRPr="003B405F">
        <w:rPr>
          <w:rFonts w:cstheme="minorHAnsi"/>
        </w:rPr>
        <w:t xml:space="preserve"> to </w:t>
      </w:r>
      <w:proofErr w:type="gramStart"/>
      <w:r w:rsidRPr="003B405F">
        <w:rPr>
          <w:rFonts w:cstheme="minorHAnsi"/>
        </w:rPr>
        <w:t>make a decision</w:t>
      </w:r>
      <w:proofErr w:type="gramEnd"/>
      <w:r w:rsidRPr="003B405F">
        <w:rPr>
          <w:rFonts w:cstheme="minorHAnsi"/>
        </w:rPr>
        <w:t xml:space="preserve"> or </w:t>
      </w:r>
      <w:r>
        <w:rPr>
          <w:rFonts w:cstheme="minorHAnsi"/>
        </w:rPr>
        <w:t>advises</w:t>
      </w:r>
      <w:r w:rsidRPr="003B405F">
        <w:rPr>
          <w:rFonts w:cstheme="minorHAnsi"/>
        </w:rPr>
        <w:t xml:space="preserve"> the employee when the decision will be made. The adjournment should not be less than 30 minutes.</w:t>
      </w:r>
    </w:p>
    <w:p w14:paraId="75760CF8" w14:textId="77777777" w:rsidR="00E14BBE" w:rsidRPr="003B405F" w:rsidRDefault="00E14BBE" w:rsidP="00E14BBE">
      <w:pPr>
        <w:pStyle w:val="ListParagraph"/>
        <w:numPr>
          <w:ilvl w:val="0"/>
          <w:numId w:val="36"/>
        </w:numPr>
        <w:spacing w:line="360" w:lineRule="auto"/>
        <w:ind w:left="567" w:hanging="567"/>
        <w:jc w:val="both"/>
        <w:rPr>
          <w:rFonts w:cstheme="minorHAnsi"/>
        </w:rPr>
      </w:pPr>
      <w:r w:rsidRPr="003B405F">
        <w:rPr>
          <w:rFonts w:cstheme="minorHAnsi"/>
        </w:rPr>
        <w:t xml:space="preserve">Consider all evidence before </w:t>
      </w:r>
      <w:proofErr w:type="gramStart"/>
      <w:r w:rsidRPr="003B405F">
        <w:rPr>
          <w:rFonts w:cstheme="minorHAnsi"/>
        </w:rPr>
        <w:t>making a decision</w:t>
      </w:r>
      <w:proofErr w:type="gramEnd"/>
      <w:r w:rsidRPr="003B405F">
        <w:rPr>
          <w:rFonts w:cstheme="minorHAnsi"/>
        </w:rPr>
        <w:t xml:space="preserve">. Further investigation may also be necessary following the meeting </w:t>
      </w:r>
      <w:r>
        <w:rPr>
          <w:rFonts w:cstheme="minorHAnsi"/>
        </w:rPr>
        <w:t>to</w:t>
      </w:r>
      <w:r w:rsidRPr="003B405F">
        <w:rPr>
          <w:rFonts w:cstheme="minorHAnsi"/>
        </w:rPr>
        <w:t xml:space="preserve"> verify some details.</w:t>
      </w:r>
    </w:p>
    <w:p w14:paraId="4CDC8971" w14:textId="77777777" w:rsidR="00E14BBE" w:rsidRPr="003B405F" w:rsidRDefault="00E14BBE" w:rsidP="00E14BBE">
      <w:pPr>
        <w:pStyle w:val="ListParagraph"/>
        <w:numPr>
          <w:ilvl w:val="0"/>
          <w:numId w:val="36"/>
        </w:numPr>
        <w:spacing w:line="360" w:lineRule="auto"/>
        <w:ind w:left="567" w:hanging="567"/>
        <w:jc w:val="both"/>
        <w:rPr>
          <w:rFonts w:cstheme="minorHAnsi"/>
        </w:rPr>
      </w:pPr>
      <w:r w:rsidRPr="003B405F">
        <w:rPr>
          <w:rFonts w:cstheme="minorHAnsi"/>
        </w:rPr>
        <w:t xml:space="preserve">Provide the outcome of the </w:t>
      </w:r>
      <w:r>
        <w:rPr>
          <w:rFonts w:cstheme="minorHAnsi"/>
        </w:rPr>
        <w:t>meeting</w:t>
      </w:r>
      <w:r w:rsidRPr="003B405F">
        <w:rPr>
          <w:rFonts w:cstheme="minorHAnsi"/>
        </w:rPr>
        <w:t xml:space="preserve"> in writing to the employee. Explain the reasons for the decision and advise the employee of their right to appeal if they </w:t>
      </w:r>
      <w:r>
        <w:rPr>
          <w:rFonts w:cstheme="minorHAnsi"/>
        </w:rPr>
        <w:t>disagree</w:t>
      </w:r>
      <w:r w:rsidRPr="003B405F">
        <w:rPr>
          <w:rFonts w:cstheme="minorHAnsi"/>
        </w:rPr>
        <w:t xml:space="preserve"> with the decision.</w:t>
      </w:r>
    </w:p>
    <w:p w14:paraId="43919DED" w14:textId="77777777" w:rsidR="00E14BBE" w:rsidRPr="003B405F" w:rsidRDefault="00E14BBE" w:rsidP="00E14BBE">
      <w:pPr>
        <w:pStyle w:val="ListParagraph"/>
        <w:numPr>
          <w:ilvl w:val="0"/>
          <w:numId w:val="36"/>
        </w:numPr>
        <w:spacing w:line="360" w:lineRule="auto"/>
        <w:ind w:left="567" w:hanging="567"/>
        <w:jc w:val="both"/>
        <w:rPr>
          <w:rFonts w:cstheme="minorHAnsi"/>
        </w:rPr>
      </w:pPr>
      <w:r w:rsidRPr="003B405F">
        <w:rPr>
          <w:rFonts w:cstheme="minorHAnsi"/>
        </w:rPr>
        <w:t>Advise of the remedial action to ensure no repeats.</w:t>
      </w:r>
    </w:p>
    <w:p w14:paraId="446459D3" w14:textId="77777777" w:rsidR="00E14BBE" w:rsidRPr="003B405F" w:rsidRDefault="00E14BBE" w:rsidP="00E14BBE">
      <w:pPr>
        <w:spacing w:line="360" w:lineRule="auto"/>
        <w:jc w:val="both"/>
        <w:rPr>
          <w:rFonts w:cstheme="minorHAnsi"/>
        </w:rPr>
      </w:pPr>
      <w:r w:rsidRPr="003B405F">
        <w:rPr>
          <w:rFonts w:cstheme="minorHAnsi"/>
        </w:rPr>
        <w:t>If</w:t>
      </w:r>
      <w:r w:rsidRPr="00F1554F">
        <w:rPr>
          <w:rFonts w:cstheme="minorHAnsi"/>
        </w:rPr>
        <w:t xml:space="preserve"> an appeal is received following a disciplinary outcome, </w:t>
      </w:r>
      <w:r w:rsidRPr="003B405F">
        <w:rPr>
          <w:rFonts w:cstheme="minorHAnsi"/>
        </w:rPr>
        <w:t xml:space="preserve">this should be dealt with </w:t>
      </w:r>
      <w:proofErr w:type="gramStart"/>
      <w:r w:rsidRPr="003B405F">
        <w:rPr>
          <w:rFonts w:cstheme="minorHAnsi"/>
        </w:rPr>
        <w:t>fairly as</w:t>
      </w:r>
      <w:proofErr w:type="gramEnd"/>
      <w:r w:rsidRPr="003B405F">
        <w:rPr>
          <w:rFonts w:cstheme="minorHAnsi"/>
        </w:rPr>
        <w:t xml:space="preserve"> per the </w:t>
      </w:r>
      <w:r>
        <w:rPr>
          <w:rFonts w:cstheme="minorHAnsi"/>
        </w:rPr>
        <w:t>Company’s</w:t>
      </w:r>
      <w:r w:rsidRPr="003B405F">
        <w:rPr>
          <w:rFonts w:cstheme="minorHAnsi"/>
        </w:rPr>
        <w:t xml:space="preserve"> written disciplinary policies.</w:t>
      </w:r>
    </w:p>
    <w:p w14:paraId="58D6CD7D" w14:textId="77777777" w:rsidR="00E14BBE" w:rsidRPr="003B405F" w:rsidRDefault="00E14BBE" w:rsidP="00E14BBE">
      <w:pPr>
        <w:pStyle w:val="ListParagraph"/>
        <w:numPr>
          <w:ilvl w:val="0"/>
          <w:numId w:val="37"/>
        </w:numPr>
        <w:spacing w:line="360" w:lineRule="auto"/>
        <w:ind w:left="567" w:hanging="567"/>
        <w:jc w:val="both"/>
        <w:rPr>
          <w:rFonts w:cstheme="minorHAnsi"/>
        </w:rPr>
      </w:pPr>
      <w:r w:rsidRPr="003B405F">
        <w:rPr>
          <w:rFonts w:cstheme="minorHAnsi"/>
        </w:rPr>
        <w:t xml:space="preserve">It is best practice for the appeal </w:t>
      </w:r>
      <w:r>
        <w:rPr>
          <w:rFonts w:cstheme="minorHAnsi"/>
        </w:rPr>
        <w:t>Meeting</w:t>
      </w:r>
      <w:r w:rsidRPr="003B405F">
        <w:rPr>
          <w:rFonts w:cstheme="minorHAnsi"/>
        </w:rPr>
        <w:t xml:space="preserve"> to be handled by </w:t>
      </w:r>
      <w:r>
        <w:rPr>
          <w:rFonts w:cstheme="minorHAnsi"/>
        </w:rPr>
        <w:t>someone</w:t>
      </w:r>
      <w:r w:rsidRPr="003B405F">
        <w:rPr>
          <w:rFonts w:cstheme="minorHAnsi"/>
        </w:rPr>
        <w:t xml:space="preserve"> other than the manager conducting the original disciplinary </w:t>
      </w:r>
      <w:r>
        <w:rPr>
          <w:rFonts w:cstheme="minorHAnsi"/>
        </w:rPr>
        <w:t>Meeting</w:t>
      </w:r>
      <w:r w:rsidRPr="003B405F">
        <w:rPr>
          <w:rFonts w:cstheme="minorHAnsi"/>
        </w:rPr>
        <w:t>.</w:t>
      </w:r>
    </w:p>
    <w:p w14:paraId="43962C72" w14:textId="77777777" w:rsidR="00E14BBE" w:rsidRPr="003B405F" w:rsidRDefault="00E14BBE" w:rsidP="00E14BBE">
      <w:pPr>
        <w:pStyle w:val="ListParagraph"/>
        <w:numPr>
          <w:ilvl w:val="0"/>
          <w:numId w:val="37"/>
        </w:numPr>
        <w:spacing w:line="360" w:lineRule="auto"/>
        <w:ind w:left="567" w:hanging="567"/>
        <w:jc w:val="both"/>
        <w:rPr>
          <w:rFonts w:cstheme="minorHAnsi"/>
        </w:rPr>
      </w:pPr>
      <w:r w:rsidRPr="003B405F">
        <w:rPr>
          <w:rFonts w:cstheme="minorHAnsi"/>
        </w:rPr>
        <w:lastRenderedPageBreak/>
        <w:t xml:space="preserve">Send a written invitation to the employee for the appeal </w:t>
      </w:r>
      <w:r>
        <w:rPr>
          <w:rFonts w:cstheme="minorHAnsi"/>
        </w:rPr>
        <w:t>Meeting</w:t>
      </w:r>
      <w:r w:rsidRPr="003B405F">
        <w:rPr>
          <w:rFonts w:cstheme="minorHAnsi"/>
        </w:rPr>
        <w:t>.</w:t>
      </w:r>
    </w:p>
    <w:p w14:paraId="7333EACD" w14:textId="77777777" w:rsidR="00E14BBE" w:rsidRPr="003B405F" w:rsidRDefault="00E14BBE" w:rsidP="00E14BBE">
      <w:pPr>
        <w:pStyle w:val="ListParagraph"/>
        <w:numPr>
          <w:ilvl w:val="0"/>
          <w:numId w:val="37"/>
        </w:numPr>
        <w:spacing w:line="360" w:lineRule="auto"/>
        <w:ind w:left="567" w:hanging="567"/>
        <w:jc w:val="both"/>
        <w:rPr>
          <w:rFonts w:cstheme="minorHAnsi"/>
        </w:rPr>
      </w:pPr>
      <w:r w:rsidRPr="003B405F">
        <w:rPr>
          <w:rFonts w:cstheme="minorHAnsi"/>
        </w:rPr>
        <w:t xml:space="preserve">Allow a reasonable time between sending the invite and the </w:t>
      </w:r>
      <w:r>
        <w:rPr>
          <w:rFonts w:cstheme="minorHAnsi"/>
        </w:rPr>
        <w:t>meeting date</w:t>
      </w:r>
      <w:r w:rsidRPr="003B405F">
        <w:rPr>
          <w:rFonts w:cstheme="minorHAnsi"/>
        </w:rPr>
        <w:t xml:space="preserve">. This </w:t>
      </w:r>
      <w:r w:rsidRPr="00F1554F">
        <w:rPr>
          <w:rFonts w:cstheme="minorHAnsi"/>
        </w:rPr>
        <w:t xml:space="preserve">ensures the employee has time to prepare and make </w:t>
      </w:r>
      <w:r w:rsidRPr="003B405F">
        <w:rPr>
          <w:rFonts w:cstheme="minorHAnsi"/>
        </w:rPr>
        <w:t>necessary arrangements.</w:t>
      </w:r>
      <w:r>
        <w:rPr>
          <w:rFonts w:cstheme="minorHAnsi"/>
        </w:rPr>
        <w:t xml:space="preserve"> </w:t>
      </w:r>
      <w:r w:rsidRPr="003B405F">
        <w:rPr>
          <w:rFonts w:cstheme="minorHAnsi"/>
        </w:rPr>
        <w:t>48 hours (not including weekends) or more is considered reasonable.</w:t>
      </w:r>
    </w:p>
    <w:p w14:paraId="29C3AF10" w14:textId="77777777" w:rsidR="00E14BBE" w:rsidRPr="003B405F" w:rsidRDefault="00E14BBE" w:rsidP="00E14BBE">
      <w:pPr>
        <w:pStyle w:val="ListParagraph"/>
        <w:numPr>
          <w:ilvl w:val="0"/>
          <w:numId w:val="37"/>
        </w:numPr>
        <w:spacing w:line="360" w:lineRule="auto"/>
        <w:ind w:left="567" w:hanging="567"/>
        <w:jc w:val="both"/>
        <w:rPr>
          <w:rFonts w:cstheme="minorHAnsi"/>
        </w:rPr>
      </w:pPr>
      <w:r w:rsidRPr="003B405F">
        <w:rPr>
          <w:rFonts w:cstheme="minorHAnsi"/>
        </w:rPr>
        <w:t>Always advise the employee in the invite of their right to be accompanied by a fellow worker or trade union representative.</w:t>
      </w:r>
    </w:p>
    <w:p w14:paraId="531FC490" w14:textId="77777777" w:rsidR="00E14BBE" w:rsidRPr="003B405F" w:rsidRDefault="00E14BBE" w:rsidP="00E14BBE">
      <w:pPr>
        <w:pStyle w:val="ListParagraph"/>
        <w:numPr>
          <w:ilvl w:val="0"/>
          <w:numId w:val="37"/>
        </w:numPr>
        <w:spacing w:line="360" w:lineRule="auto"/>
        <w:ind w:left="567" w:hanging="567"/>
        <w:jc w:val="both"/>
        <w:rPr>
          <w:rFonts w:cstheme="minorHAnsi"/>
        </w:rPr>
      </w:pPr>
      <w:r w:rsidRPr="003B405F">
        <w:rPr>
          <w:rFonts w:cstheme="minorHAnsi"/>
        </w:rPr>
        <w:t xml:space="preserve">It is best practice to have a separate notetaker at the </w:t>
      </w:r>
      <w:r>
        <w:rPr>
          <w:rFonts w:cstheme="minorHAnsi"/>
        </w:rPr>
        <w:t xml:space="preserve">appeal </w:t>
      </w:r>
      <w:r w:rsidRPr="003B405F">
        <w:rPr>
          <w:rFonts w:cstheme="minorHAnsi"/>
        </w:rPr>
        <w:t xml:space="preserve">meeting or record the meeting if the employee consents. This will allow the </w:t>
      </w:r>
      <w:r>
        <w:rPr>
          <w:rFonts w:cstheme="minorHAnsi"/>
        </w:rPr>
        <w:t>Meeting Manager</w:t>
      </w:r>
      <w:r w:rsidRPr="003B405F">
        <w:rPr>
          <w:rFonts w:cstheme="minorHAnsi"/>
        </w:rPr>
        <w:t xml:space="preserve"> of the meeting to focus on the case. </w:t>
      </w:r>
    </w:p>
    <w:p w14:paraId="04C4BAA8" w14:textId="77777777" w:rsidR="00E14BBE" w:rsidRPr="003B405F" w:rsidRDefault="00E14BBE" w:rsidP="00E14BBE">
      <w:pPr>
        <w:pStyle w:val="ListParagraph"/>
        <w:numPr>
          <w:ilvl w:val="0"/>
          <w:numId w:val="37"/>
        </w:numPr>
        <w:spacing w:line="360" w:lineRule="auto"/>
        <w:ind w:left="567" w:hanging="567"/>
        <w:jc w:val="both"/>
        <w:rPr>
          <w:rFonts w:cstheme="minorHAnsi"/>
        </w:rPr>
      </w:pPr>
      <w:r w:rsidRPr="003B405F">
        <w:rPr>
          <w:rFonts w:cstheme="minorHAnsi"/>
        </w:rPr>
        <w:t xml:space="preserve">The </w:t>
      </w:r>
      <w:r>
        <w:rPr>
          <w:rFonts w:cstheme="minorHAnsi"/>
        </w:rPr>
        <w:t>Meeting Manager</w:t>
      </w:r>
      <w:r w:rsidRPr="003B405F">
        <w:rPr>
          <w:rFonts w:cstheme="minorHAnsi"/>
        </w:rPr>
        <w:t xml:space="preserve"> should allow the employee or companion to put their case forward. This should not be a repeat of the original </w:t>
      </w:r>
      <w:r>
        <w:rPr>
          <w:rFonts w:cstheme="minorHAnsi"/>
        </w:rPr>
        <w:t>Meeting</w:t>
      </w:r>
      <w:r w:rsidRPr="003B405F">
        <w:rPr>
          <w:rFonts w:cstheme="minorHAnsi"/>
        </w:rPr>
        <w:t xml:space="preserve">. The employee should explain their reasons for </w:t>
      </w:r>
      <w:r>
        <w:rPr>
          <w:rFonts w:cstheme="minorHAnsi"/>
        </w:rPr>
        <w:t xml:space="preserve">the </w:t>
      </w:r>
      <w:r w:rsidRPr="003B405F">
        <w:rPr>
          <w:rFonts w:cstheme="minorHAnsi"/>
        </w:rPr>
        <w:t>appeal and provide new evidence if available.</w:t>
      </w:r>
    </w:p>
    <w:p w14:paraId="0A39798E" w14:textId="77777777" w:rsidR="00E14BBE" w:rsidRPr="003B405F" w:rsidRDefault="00E14BBE" w:rsidP="00E14BBE">
      <w:pPr>
        <w:pStyle w:val="ListParagraph"/>
        <w:numPr>
          <w:ilvl w:val="0"/>
          <w:numId w:val="37"/>
        </w:numPr>
        <w:spacing w:line="360" w:lineRule="auto"/>
        <w:ind w:left="567" w:hanging="567"/>
        <w:rPr>
          <w:rFonts w:cstheme="minorHAnsi"/>
        </w:rPr>
      </w:pPr>
      <w:r w:rsidRPr="003B405F">
        <w:rPr>
          <w:rFonts w:cstheme="minorHAnsi"/>
        </w:rPr>
        <w:t xml:space="preserve">At the end of the </w:t>
      </w:r>
      <w:r>
        <w:rPr>
          <w:rFonts w:cstheme="minorHAnsi"/>
        </w:rPr>
        <w:t xml:space="preserve">appeal </w:t>
      </w:r>
      <w:r w:rsidRPr="003B405F">
        <w:rPr>
          <w:rFonts w:cstheme="minorHAnsi"/>
        </w:rPr>
        <w:t xml:space="preserve">meeting, either adjourn to </w:t>
      </w:r>
      <w:proofErr w:type="gramStart"/>
      <w:r w:rsidRPr="003B405F">
        <w:rPr>
          <w:rFonts w:cstheme="minorHAnsi"/>
        </w:rPr>
        <w:t>make a decision</w:t>
      </w:r>
      <w:proofErr w:type="gramEnd"/>
      <w:r w:rsidRPr="003B405F">
        <w:rPr>
          <w:rFonts w:cstheme="minorHAnsi"/>
        </w:rPr>
        <w:t xml:space="preserve"> or advise the employee when the decision will be made.</w:t>
      </w:r>
    </w:p>
    <w:p w14:paraId="59F8EABE" w14:textId="77777777" w:rsidR="00E14BBE" w:rsidRPr="003B405F" w:rsidRDefault="00E14BBE" w:rsidP="00E14BBE">
      <w:pPr>
        <w:pStyle w:val="ListParagraph"/>
        <w:numPr>
          <w:ilvl w:val="0"/>
          <w:numId w:val="37"/>
        </w:numPr>
        <w:spacing w:line="360" w:lineRule="auto"/>
        <w:ind w:left="567" w:hanging="567"/>
        <w:jc w:val="both"/>
        <w:rPr>
          <w:rFonts w:cstheme="minorHAnsi"/>
        </w:rPr>
      </w:pPr>
      <w:r w:rsidRPr="003B405F">
        <w:rPr>
          <w:rFonts w:cstheme="minorHAnsi"/>
        </w:rPr>
        <w:t xml:space="preserve">Consider all evidence before </w:t>
      </w:r>
      <w:proofErr w:type="gramStart"/>
      <w:r w:rsidRPr="003B405F">
        <w:rPr>
          <w:rFonts w:cstheme="minorHAnsi"/>
        </w:rPr>
        <w:t>making a decision</w:t>
      </w:r>
      <w:proofErr w:type="gramEnd"/>
      <w:r w:rsidRPr="003B405F">
        <w:rPr>
          <w:rFonts w:cstheme="minorHAnsi"/>
        </w:rPr>
        <w:t xml:space="preserve">. Further investigation may also be necessary following the meeting </w:t>
      </w:r>
      <w:r>
        <w:rPr>
          <w:rFonts w:cstheme="minorHAnsi"/>
        </w:rPr>
        <w:t>to</w:t>
      </w:r>
      <w:r w:rsidRPr="003B405F">
        <w:rPr>
          <w:rFonts w:cstheme="minorHAnsi"/>
        </w:rPr>
        <w:t xml:space="preserve"> verify some details.</w:t>
      </w:r>
    </w:p>
    <w:p w14:paraId="3D5250AB" w14:textId="77777777" w:rsidR="00E14BBE" w:rsidRPr="003B405F" w:rsidRDefault="00E14BBE" w:rsidP="00E14BBE">
      <w:pPr>
        <w:pStyle w:val="ListParagraph"/>
        <w:numPr>
          <w:ilvl w:val="0"/>
          <w:numId w:val="37"/>
        </w:numPr>
        <w:spacing w:line="360" w:lineRule="auto"/>
        <w:ind w:left="567" w:hanging="567"/>
        <w:jc w:val="both"/>
        <w:rPr>
          <w:rFonts w:cstheme="minorHAnsi"/>
        </w:rPr>
      </w:pPr>
      <w:r w:rsidRPr="003B405F">
        <w:rPr>
          <w:rFonts w:cstheme="minorHAnsi"/>
        </w:rPr>
        <w:t xml:space="preserve">Provide the outcome of the </w:t>
      </w:r>
      <w:r>
        <w:rPr>
          <w:rFonts w:cstheme="minorHAnsi"/>
        </w:rPr>
        <w:t>appeal Meeting</w:t>
      </w:r>
      <w:r w:rsidRPr="003B405F">
        <w:rPr>
          <w:rFonts w:cstheme="minorHAnsi"/>
        </w:rPr>
        <w:t xml:space="preserve"> in writing to the employee. Explain the reasons for the decision and advise the employee that there is no further right to appeal this decision.</w:t>
      </w:r>
    </w:p>
    <w:p w14:paraId="19ED7B34" w14:textId="77777777" w:rsidR="00E14BBE" w:rsidRDefault="00E14BBE" w:rsidP="00E14BBE">
      <w:pPr>
        <w:spacing w:line="360" w:lineRule="auto"/>
        <w:rPr>
          <w:rFonts w:cstheme="minorHAnsi"/>
          <w:b/>
          <w:u w:val="single"/>
        </w:rPr>
      </w:pPr>
    </w:p>
    <w:p w14:paraId="469C2D84" w14:textId="77777777" w:rsidR="00E14BBE" w:rsidRDefault="00E14BBE" w:rsidP="00E14BBE">
      <w:pPr>
        <w:spacing w:line="360" w:lineRule="auto"/>
        <w:rPr>
          <w:rFonts w:cstheme="minorHAnsi"/>
          <w:b/>
          <w:u w:val="single"/>
        </w:rPr>
      </w:pPr>
    </w:p>
    <w:p w14:paraId="546ACF11" w14:textId="32A17DC9" w:rsidR="00A316B1" w:rsidRPr="00A316B1" w:rsidRDefault="00A316B1" w:rsidP="00F1554F">
      <w:pPr>
        <w:tabs>
          <w:tab w:val="left" w:pos="7235"/>
        </w:tabs>
        <w:spacing w:line="360" w:lineRule="auto"/>
        <w:rPr>
          <w:rFonts w:cstheme="minorHAnsi"/>
        </w:rPr>
      </w:pPr>
    </w:p>
    <w:sectPr w:rsidR="00A316B1" w:rsidRPr="00A316B1" w:rsidSect="007B6C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00936" w14:textId="77777777" w:rsidR="0089387F" w:rsidRDefault="0089387F" w:rsidP="002C1D48">
      <w:pPr>
        <w:spacing w:after="0" w:line="240" w:lineRule="auto"/>
      </w:pPr>
      <w:r>
        <w:separator/>
      </w:r>
    </w:p>
  </w:endnote>
  <w:endnote w:type="continuationSeparator" w:id="0">
    <w:p w14:paraId="7D3844E7" w14:textId="77777777" w:rsidR="0089387F" w:rsidRDefault="0089387F"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6B697793" w14:textId="77777777" w:rsidR="00EC2E7C" w:rsidRPr="003D7AA0" w:rsidRDefault="00EC2E7C" w:rsidP="00EC2E7C">
    <w:pPr>
      <w:pStyle w:val="Footer"/>
      <w:jc w:val="center"/>
      <w:rPr>
        <w:b/>
        <w:bCs/>
        <w:noProof/>
        <w:color w:val="093046"/>
        <w:sz w:val="15"/>
        <w:szCs w:val="15"/>
      </w:rPr>
    </w:pPr>
    <w:r w:rsidRPr="003D7AA0">
      <w:rPr>
        <w:rFonts w:ascii="Avenir Next LT Pro" w:hAnsi="Avenir Next LT Pro"/>
        <w:b/>
        <w:bCs/>
        <w:noProof/>
        <w:color w:val="002F46"/>
        <w:sz w:val="15"/>
        <w:szCs w:val="15"/>
      </w:rPr>
      <w:t>Breathing Space HR Ltd,   Registered Office:  19 King Street, The Civic Quarter, Wakefield, WF1 2SQ</w:t>
    </w:r>
  </w:p>
  <w:p w14:paraId="481D3E2F" w14:textId="77777777" w:rsidR="00EC2E7C" w:rsidRPr="00EC2E7C" w:rsidRDefault="00EC2E7C" w:rsidP="00EC2E7C">
    <w:pPr>
      <w:pStyle w:val="Footer"/>
      <w:jc w:val="center"/>
      <w:rPr>
        <w:rFonts w:ascii="Avenir Next LT Pro" w:hAnsi="Avenir Next LT Pro"/>
        <w:b/>
        <w:bCs/>
        <w:noProof/>
        <w:color w:val="002F46"/>
        <w:sz w:val="15"/>
        <w:szCs w:val="15"/>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sidRPr="003D7AA0">
      <w:rPr>
        <w:rFonts w:ascii="Avenir Next LT Pro" w:hAnsi="Avenir Next LT Pro"/>
        <w:b/>
        <w:bCs/>
        <w:noProof/>
        <w:color w:val="002F46"/>
        <w:sz w:val="15"/>
        <w:szCs w:val="15"/>
      </w:rPr>
      <w:t>Company Registration Number 5872679</w:t>
    </w:r>
    <w:r w:rsidRPr="00EC2E7C">
      <w:rPr>
        <w:rFonts w:ascii="Avenir Next LT Pro" w:hAnsi="Avenir Next LT Pro"/>
        <w:b/>
        <w:bCs/>
        <w:noProof/>
        <w:color w:val="002F46"/>
        <w:sz w:val="15"/>
        <w:szCs w:val="15"/>
      </w:rPr>
      <w:t xml:space="preserve">                                                 Page </w:t>
    </w:r>
    <w:r w:rsidRPr="00EC2E7C">
      <w:rPr>
        <w:rFonts w:ascii="Avenir Next LT Pro" w:hAnsi="Avenir Next LT Pro"/>
        <w:b/>
        <w:bCs/>
        <w:noProof/>
        <w:color w:val="002F46"/>
        <w:sz w:val="15"/>
        <w:szCs w:val="15"/>
      </w:rPr>
      <w:fldChar w:fldCharType="begin"/>
    </w:r>
    <w:r w:rsidRPr="00EC2E7C">
      <w:rPr>
        <w:rFonts w:ascii="Avenir Next LT Pro" w:hAnsi="Avenir Next LT Pro"/>
        <w:b/>
        <w:bCs/>
        <w:noProof/>
        <w:color w:val="002F46"/>
        <w:sz w:val="15"/>
        <w:szCs w:val="15"/>
      </w:rPr>
      <w:instrText xml:space="preserve"> PAGE  \* Arabic  \* MERGEFORMAT </w:instrText>
    </w:r>
    <w:r w:rsidRPr="00EC2E7C">
      <w:rPr>
        <w:rFonts w:ascii="Avenir Next LT Pro" w:hAnsi="Avenir Next LT Pro"/>
        <w:b/>
        <w:bCs/>
        <w:noProof/>
        <w:color w:val="002F46"/>
        <w:sz w:val="15"/>
        <w:szCs w:val="15"/>
      </w:rPr>
      <w:fldChar w:fldCharType="separate"/>
    </w:r>
    <w:r w:rsidRPr="00EC2E7C">
      <w:rPr>
        <w:rFonts w:ascii="Avenir Next LT Pro" w:hAnsi="Avenir Next LT Pro"/>
        <w:b/>
        <w:bCs/>
        <w:noProof/>
        <w:color w:val="002F46"/>
        <w:sz w:val="15"/>
        <w:szCs w:val="15"/>
      </w:rPr>
      <w:t>1</w:t>
    </w:r>
    <w:r w:rsidRPr="00EC2E7C">
      <w:rPr>
        <w:rFonts w:ascii="Avenir Next LT Pro" w:hAnsi="Avenir Next LT Pro"/>
        <w:b/>
        <w:bCs/>
        <w:noProof/>
        <w:color w:val="002F46"/>
        <w:sz w:val="15"/>
        <w:szCs w:val="15"/>
      </w:rPr>
      <w:fldChar w:fldCharType="end"/>
    </w:r>
    <w:r w:rsidRPr="00EC2E7C">
      <w:rPr>
        <w:rFonts w:ascii="Avenir Next LT Pro" w:hAnsi="Avenir Next LT Pro"/>
        <w:b/>
        <w:bCs/>
        <w:noProof/>
        <w:color w:val="002F46"/>
        <w:sz w:val="15"/>
        <w:szCs w:val="15"/>
      </w:rPr>
      <w:t xml:space="preserve"> of </w:t>
    </w:r>
    <w:r w:rsidRPr="00EC2E7C">
      <w:rPr>
        <w:rFonts w:ascii="Avenir Next LT Pro" w:hAnsi="Avenir Next LT Pro"/>
        <w:b/>
        <w:bCs/>
        <w:noProof/>
        <w:color w:val="002F46"/>
        <w:sz w:val="15"/>
        <w:szCs w:val="15"/>
      </w:rPr>
      <w:fldChar w:fldCharType="begin"/>
    </w:r>
    <w:r w:rsidRPr="00EC2E7C">
      <w:rPr>
        <w:rFonts w:ascii="Avenir Next LT Pro" w:hAnsi="Avenir Next LT Pro"/>
        <w:b/>
        <w:bCs/>
        <w:noProof/>
        <w:color w:val="002F46"/>
        <w:sz w:val="15"/>
        <w:szCs w:val="15"/>
      </w:rPr>
      <w:instrText xml:space="preserve"> NUMPAGES  \* Arabic  \* MERGEFORMAT </w:instrText>
    </w:r>
    <w:r w:rsidRPr="00EC2E7C">
      <w:rPr>
        <w:rFonts w:ascii="Avenir Next LT Pro" w:hAnsi="Avenir Next LT Pro"/>
        <w:b/>
        <w:bCs/>
        <w:noProof/>
        <w:color w:val="002F46"/>
        <w:sz w:val="15"/>
        <w:szCs w:val="15"/>
      </w:rPr>
      <w:fldChar w:fldCharType="separate"/>
    </w:r>
    <w:r w:rsidRPr="00EC2E7C">
      <w:rPr>
        <w:rFonts w:ascii="Avenir Next LT Pro" w:hAnsi="Avenir Next LT Pro"/>
        <w:b/>
        <w:bCs/>
        <w:noProof/>
        <w:color w:val="002F46"/>
        <w:sz w:val="15"/>
        <w:szCs w:val="15"/>
      </w:rPr>
      <w:t>1</w:t>
    </w:r>
    <w:r w:rsidRPr="00EC2E7C">
      <w:rPr>
        <w:rFonts w:ascii="Avenir Next LT Pro" w:hAnsi="Avenir Next LT Pro"/>
        <w:b/>
        <w:bCs/>
        <w:noProof/>
        <w:color w:val="002F46"/>
        <w:sz w:val="15"/>
        <w:szCs w:val="15"/>
      </w:rPr>
      <w:fldChar w:fldCharType="end"/>
    </w:r>
  </w:p>
  <w:p w14:paraId="6A790E81" w14:textId="0D16F9E8" w:rsidR="000E68A4" w:rsidRPr="00EC2E7C" w:rsidRDefault="000E68A4" w:rsidP="00EC2E7C">
    <w:pPr>
      <w:pStyle w:val="Footer"/>
      <w:jc w:val="center"/>
      <w:rPr>
        <w:rFonts w:ascii="Avenir Next LT Pro" w:hAnsi="Avenir Next LT Pro"/>
        <w:b/>
        <w:bCs/>
        <w:noProof/>
        <w:color w:val="002F46"/>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2A1B2" w14:textId="77777777" w:rsidR="0089387F" w:rsidRDefault="0089387F" w:rsidP="002C1D48">
      <w:pPr>
        <w:spacing w:after="0" w:line="240" w:lineRule="auto"/>
      </w:pPr>
      <w:r>
        <w:separator/>
      </w:r>
    </w:p>
  </w:footnote>
  <w:footnote w:type="continuationSeparator" w:id="0">
    <w:p w14:paraId="7557181E" w14:textId="77777777" w:rsidR="0089387F" w:rsidRDefault="0089387F"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BC2A" w14:textId="59A49F15"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74728"/>
    <w:multiLevelType w:val="hybridMultilevel"/>
    <w:tmpl w:val="F566C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5"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9"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4" w15:restartNumberingAfterBreak="0">
    <w:nsid w:val="33D40CA2"/>
    <w:multiLevelType w:val="hybridMultilevel"/>
    <w:tmpl w:val="868E89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7"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6"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30"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2"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6"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7"/>
  </w:num>
  <w:num w:numId="2" w16cid:durableId="559680569">
    <w:abstractNumId w:val="5"/>
  </w:num>
  <w:num w:numId="3" w16cid:durableId="1733624854">
    <w:abstractNumId w:val="21"/>
  </w:num>
  <w:num w:numId="4" w16cid:durableId="824127320">
    <w:abstractNumId w:val="24"/>
  </w:num>
  <w:num w:numId="5" w16cid:durableId="1841890526">
    <w:abstractNumId w:val="10"/>
  </w:num>
  <w:num w:numId="6" w16cid:durableId="984089348">
    <w:abstractNumId w:val="11"/>
  </w:num>
  <w:num w:numId="7" w16cid:durableId="1990404903">
    <w:abstractNumId w:val="3"/>
  </w:num>
  <w:num w:numId="8" w16cid:durableId="1660187124">
    <w:abstractNumId w:val="0"/>
  </w:num>
  <w:num w:numId="9" w16cid:durableId="340476410">
    <w:abstractNumId w:val="33"/>
  </w:num>
  <w:num w:numId="10" w16cid:durableId="897671855">
    <w:abstractNumId w:val="29"/>
  </w:num>
  <w:num w:numId="11" w16cid:durableId="1769230145">
    <w:abstractNumId w:val="22"/>
  </w:num>
  <w:num w:numId="12" w16cid:durableId="1386217818">
    <w:abstractNumId w:val="35"/>
  </w:num>
  <w:num w:numId="13" w16cid:durableId="373308265">
    <w:abstractNumId w:val="25"/>
  </w:num>
  <w:num w:numId="14" w16cid:durableId="350955296">
    <w:abstractNumId w:val="16"/>
  </w:num>
  <w:num w:numId="15" w16cid:durableId="913510228">
    <w:abstractNumId w:val="30"/>
  </w:num>
  <w:num w:numId="16" w16cid:durableId="951979436">
    <w:abstractNumId w:val="12"/>
  </w:num>
  <w:num w:numId="17" w16cid:durableId="495270451">
    <w:abstractNumId w:val="36"/>
  </w:num>
  <w:num w:numId="18" w16cid:durableId="1481843266">
    <w:abstractNumId w:val="13"/>
  </w:num>
  <w:num w:numId="19" w16cid:durableId="550114062">
    <w:abstractNumId w:val="8"/>
  </w:num>
  <w:num w:numId="20" w16cid:durableId="1227259822">
    <w:abstractNumId w:val="32"/>
  </w:num>
  <w:num w:numId="21" w16cid:durableId="1249267492">
    <w:abstractNumId w:val="7"/>
  </w:num>
  <w:num w:numId="22" w16cid:durableId="1301348963">
    <w:abstractNumId w:val="17"/>
  </w:num>
  <w:num w:numId="23" w16cid:durableId="910579060">
    <w:abstractNumId w:val="26"/>
  </w:num>
  <w:num w:numId="24" w16cid:durableId="1704210384">
    <w:abstractNumId w:val="19"/>
  </w:num>
  <w:num w:numId="25" w16cid:durableId="543176872">
    <w:abstractNumId w:val="6"/>
  </w:num>
  <w:num w:numId="26" w16cid:durableId="1240022757">
    <w:abstractNumId w:val="23"/>
  </w:num>
  <w:num w:numId="27" w16cid:durableId="1789200179">
    <w:abstractNumId w:val="2"/>
  </w:num>
  <w:num w:numId="28" w16cid:durableId="750664664">
    <w:abstractNumId w:val="4"/>
  </w:num>
  <w:num w:numId="29" w16cid:durableId="726145073">
    <w:abstractNumId w:val="31"/>
  </w:num>
  <w:num w:numId="30" w16cid:durableId="1755709928">
    <w:abstractNumId w:val="15"/>
  </w:num>
  <w:num w:numId="31" w16cid:durableId="1994141491">
    <w:abstractNumId w:val="18"/>
  </w:num>
  <w:num w:numId="32" w16cid:durableId="1413307515">
    <w:abstractNumId w:val="34"/>
  </w:num>
  <w:num w:numId="33" w16cid:durableId="332219615">
    <w:abstractNumId w:val="9"/>
  </w:num>
  <w:num w:numId="34" w16cid:durableId="1960719414">
    <w:abstractNumId w:val="28"/>
  </w:num>
  <w:num w:numId="35" w16cid:durableId="272328304">
    <w:abstractNumId w:val="20"/>
  </w:num>
  <w:num w:numId="36" w16cid:durableId="133838415">
    <w:abstractNumId w:val="1"/>
  </w:num>
  <w:num w:numId="37" w16cid:durableId="10023164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D535D"/>
    <w:rsid w:val="000E68A4"/>
    <w:rsid w:val="000F580E"/>
    <w:rsid w:val="00104E0C"/>
    <w:rsid w:val="001261B8"/>
    <w:rsid w:val="00165261"/>
    <w:rsid w:val="0018498B"/>
    <w:rsid w:val="001A1607"/>
    <w:rsid w:val="001A3799"/>
    <w:rsid w:val="001B673F"/>
    <w:rsid w:val="001C2CFB"/>
    <w:rsid w:val="001C60D8"/>
    <w:rsid w:val="001D07E7"/>
    <w:rsid w:val="001E21A7"/>
    <w:rsid w:val="001E2C8A"/>
    <w:rsid w:val="00206746"/>
    <w:rsid w:val="00221004"/>
    <w:rsid w:val="00243D3A"/>
    <w:rsid w:val="00266038"/>
    <w:rsid w:val="002725B5"/>
    <w:rsid w:val="00273853"/>
    <w:rsid w:val="0029445D"/>
    <w:rsid w:val="00297719"/>
    <w:rsid w:val="002C1D48"/>
    <w:rsid w:val="00302955"/>
    <w:rsid w:val="003046B4"/>
    <w:rsid w:val="00314562"/>
    <w:rsid w:val="00347AF3"/>
    <w:rsid w:val="003B7C28"/>
    <w:rsid w:val="003F1390"/>
    <w:rsid w:val="00441DCF"/>
    <w:rsid w:val="00456F4A"/>
    <w:rsid w:val="0046551B"/>
    <w:rsid w:val="00474227"/>
    <w:rsid w:val="00485032"/>
    <w:rsid w:val="004D1018"/>
    <w:rsid w:val="004E0FEB"/>
    <w:rsid w:val="00502DD2"/>
    <w:rsid w:val="005A2FCA"/>
    <w:rsid w:val="005C0E6D"/>
    <w:rsid w:val="005D230B"/>
    <w:rsid w:val="005F4B4E"/>
    <w:rsid w:val="00603D4C"/>
    <w:rsid w:val="006077C0"/>
    <w:rsid w:val="00657E3E"/>
    <w:rsid w:val="006817ED"/>
    <w:rsid w:val="006C4A9D"/>
    <w:rsid w:val="006D1372"/>
    <w:rsid w:val="00730A32"/>
    <w:rsid w:val="00774153"/>
    <w:rsid w:val="00775A88"/>
    <w:rsid w:val="007B6CB8"/>
    <w:rsid w:val="007D6DF0"/>
    <w:rsid w:val="007F36CE"/>
    <w:rsid w:val="00814F05"/>
    <w:rsid w:val="008171D0"/>
    <w:rsid w:val="00827C7D"/>
    <w:rsid w:val="00833970"/>
    <w:rsid w:val="00856922"/>
    <w:rsid w:val="00867CFB"/>
    <w:rsid w:val="008745E5"/>
    <w:rsid w:val="0089153B"/>
    <w:rsid w:val="0089387F"/>
    <w:rsid w:val="008A0EF2"/>
    <w:rsid w:val="008A7218"/>
    <w:rsid w:val="008F3291"/>
    <w:rsid w:val="0091372C"/>
    <w:rsid w:val="00923E36"/>
    <w:rsid w:val="009251C3"/>
    <w:rsid w:val="009B0B72"/>
    <w:rsid w:val="009C307A"/>
    <w:rsid w:val="009D706F"/>
    <w:rsid w:val="00A12C58"/>
    <w:rsid w:val="00A2030A"/>
    <w:rsid w:val="00A316B1"/>
    <w:rsid w:val="00AC4AE4"/>
    <w:rsid w:val="00AF0E8B"/>
    <w:rsid w:val="00B06CC9"/>
    <w:rsid w:val="00BA6820"/>
    <w:rsid w:val="00BA6CEA"/>
    <w:rsid w:val="00BC64B8"/>
    <w:rsid w:val="00C0141E"/>
    <w:rsid w:val="00C51363"/>
    <w:rsid w:val="00C8704C"/>
    <w:rsid w:val="00C94459"/>
    <w:rsid w:val="00CA2458"/>
    <w:rsid w:val="00CA3CBD"/>
    <w:rsid w:val="00CB5FAE"/>
    <w:rsid w:val="00D40D65"/>
    <w:rsid w:val="00D45053"/>
    <w:rsid w:val="00DE3866"/>
    <w:rsid w:val="00E0731C"/>
    <w:rsid w:val="00E14BBE"/>
    <w:rsid w:val="00E35F90"/>
    <w:rsid w:val="00E94854"/>
    <w:rsid w:val="00EB3C70"/>
    <w:rsid w:val="00EC2E7C"/>
    <w:rsid w:val="00EC4DB1"/>
    <w:rsid w:val="00EE56D4"/>
    <w:rsid w:val="00F01343"/>
    <w:rsid w:val="00F062B4"/>
    <w:rsid w:val="00F1554F"/>
    <w:rsid w:val="00F2246D"/>
    <w:rsid w:val="00F26149"/>
    <w:rsid w:val="00F35E5B"/>
    <w:rsid w:val="00F61BF1"/>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586</Words>
  <Characters>2976</Characters>
  <Application>Microsoft Office Word</Application>
  <DocSecurity>0</DocSecurity>
  <Lines>49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8</cp:revision>
  <dcterms:created xsi:type="dcterms:W3CDTF">2023-05-03T12:13:00Z</dcterms:created>
  <dcterms:modified xsi:type="dcterms:W3CDTF">2026-02-13T08:46:00Z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d73f81c4d704a1f7bef4f3ba48169eac6ddf7d71150dd9091a8575933aa26c88</vt:lpwstr>
  </property>
</Properties>
</file>